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left"/>
      </w:pPr>
      <w:r>
        <w:rPr>
          <w:b/>
          <w:bCs/>
          <w:color w:val="0E8C86"/>
          <w:spacing w:val="40"/>
          <w:sz w:val="20"/>
          <w:szCs w:val="20"/>
        </w:rPr>
        <w:t xml:space="preserve">TESE · CIÊNCIAS DO ESPORTE</w:t>
      </w:r>
    </w:p>
    <w:p>
      <w:pPr>
        <w:spacing w:after="120"/>
      </w:pPr>
      <w:r>
        <w:rPr>
          <w:b/>
          <w:bCs/>
          <w:color w:val="16273D"/>
          <w:sz w:val="40"/>
          <w:szCs w:val="40"/>
        </w:rPr>
        <w:t xml:space="preserve">Monitoramento psicométrico do humor e da fadiga em atletas de handebol durante um microciclo de treinamento de alta intensidade (HIIT)</w:t>
      </w:r>
    </w:p>
    <w:p>
      <w:pPr>
        <w:spacing w:after="300"/>
      </w:pPr>
      <w:r>
        <w:rPr>
          <w:i/>
          <w:iCs/>
          <w:color w:val="5B6B82"/>
          <w:sz w:val="22"/>
          <w:szCs w:val="22"/>
        </w:rPr>
        <w:t xml:space="preserve">Estudo observacional longitudinal com validação psicométrica robusta e correção de medidas repetidas — documento completo com Resultados e Discussão integrados, em ordem lógica e cronológica.</w:t>
      </w:r>
    </w:p>
    <w:p>
      <w:pPr>
        <w:spacing w:after="60"/>
      </w:pPr>
      <w:r>
        <w:rPr>
          <w:b/>
          <w:bCs/>
          <w:sz w:val="20"/>
          <w:szCs w:val="20"/>
        </w:rPr>
        <w:t xml:space="preserve">Amostra: </w:t>
      </w:r>
      <w:r>
        <w:rPr>
          <w:sz w:val="20"/>
          <w:szCs w:val="20"/>
        </w:rPr>
        <w:t xml:space="preserve">27 atletas de elite · 456 observações · 135 pares pré→pós · microciclo de 7 dias (HIIT nos dias 2, 4 e 7).</w:t>
      </w:r>
    </w:p>
    <w:p>
      <w:pPr>
        <w:spacing w:after="60"/>
      </w:pPr>
      <w:r>
        <w:rPr>
          <w:b/>
          <w:bCs/>
          <w:sz w:val="20"/>
          <w:szCs w:val="20"/>
        </w:rPr>
        <w:t xml:space="preserve">Integridade dos dados: </w:t>
      </w:r>
      <w:r>
        <w:rPr>
          <w:sz w:val="20"/>
          <w:szCs w:val="20"/>
        </w:rPr>
        <w:t xml:space="preserve">atletas anonimizados (A01–A27); todos os valores reproduzidos por código a partir da coleta bruta.</w:t>
      </w:r>
    </w:p>
    <w:p>
      <w:pPr>
        <w:spacing w:before="400"/>
      </w:pPr>
      <w:r>
        <w:rPr>
          <w:color w:val="5B6B82"/>
          <w:sz w:val="20"/>
          <w:szCs w:val="20"/>
        </w:rPr>
        <w:t xml:space="preserve">[Autor] · [Orientador] · [Instituição] · 2026</w:t>
      </w:r>
    </w:p>
    <w:p>
      <w:r>
        <w:br w:type="page"/>
      </w:r>
    </w:p>
    <w:p>
      <w:pPr>
        <w:pStyle w:val="Heading1"/>
        <w:spacing w:after="120" w:before="260"/>
      </w:pPr>
      <w:r>
        <w:t xml:space="preserve">Resumo</w:t>
      </w:r>
    </w:p>
    <w:p>
      <w:pPr>
        <w:spacing w:after="140" w:before="0" w:line="276"/>
        <w:jc w:val="both"/>
      </w:pPr>
      <w:r>
        <w:rPr>
          <w:b/>
          <w:bCs/>
        </w:rPr>
        <w:t xml:space="preserve">Objetivo. </w:t>
      </w:r>
      <w:r>
        <w:t xml:space="preserve">Avaliar como o perfil de humor (Escala de Humor de Brunel, BRUMS) de atletas de handebol de elite se comporta ao longo de um microciclo de alta intensidade e o quanto esse comportamento pode ser medido de forma confiável, distinguindo a limitação de mensuração (efeito piso) da ausência real de efeito. </w:t>
      </w:r>
      <w:r>
        <w:rPr>
          <w:b/>
          <w:bCs/>
        </w:rPr>
        <w:t xml:space="preserve">Método. </w:t>
      </w:r>
      <w:r>
        <w:t xml:space="preserve">Vinte e sete atletas foram avaliados repetidamente (pré e pós-treino) durante sete dias, com HIIT nos dias 2, 4 e 7 (456 observações; 135 pares pré→pós). Toda a inferência tratou o atleta como unidade amostral (modelos de efeitos mistos; correção de comparações múltiplas por FDR). </w:t>
      </w:r>
      <w:r>
        <w:rPr>
          <w:b/>
          <w:bCs/>
        </w:rPr>
        <w:t xml:space="preserve">Resultados. </w:t>
      </w:r>
      <w:r>
        <w:t xml:space="preserve">A resposta ao microciclo concentra-se no eixo energia–fadiga: a fadiga física é o marcador sentinela (dz 1,06), acompanhada de PTH (dz 0,68), fadiga (dz 0,62) e queda de vigor (dz -0,56); as subescalas negativas com efeito piso não respondem. A escala é confiável e invariante pré→pós (Tucker φ 0,99). O efeito do HIIT está no nível do dia (ΔPTH +2,43), não num choque agudo específico. A resposta é fortemente individual (ICC 0,42–0,71) e desacoplada da carga interna (TRIMP × ΔPTH r = -0,32, n.s.). </w:t>
      </w:r>
      <w:r>
        <w:rPr>
          <w:b/>
          <w:bCs/>
        </w:rPr>
        <w:t xml:space="preserve">Conclusão. </w:t>
      </w:r>
      <w:r>
        <w:t xml:space="preserve">A resposta de humor é real, mora no eixo energia–fadiga, é fortemente individual e não é função simples do custo cardiovascular — sustentando o monitoramento individualizado por tendência, com a fadiga física como sentinela.</w:t>
      </w:r>
    </w:p>
    <w:p>
      <w:pPr>
        <w:spacing w:after="140" w:before="0" w:line="276"/>
        <w:jc w:val="both"/>
      </w:pPr>
      <w:r>
        <w:rPr>
          <w:b/>
          <w:bCs/>
        </w:rPr>
        <w:t xml:space="preserve">Palavras-chave: </w:t>
      </w:r>
      <w:r>
        <w:t xml:space="preserve">BRUMS; humor; fadiga; HIIT; handebol; psicometria; medidas repetidas; monitoramento.</w:t>
      </w:r>
    </w:p>
    <w:p>
      <w:r>
        <w:br w:type="page"/>
      </w:r>
    </w:p>
    <w:p>
      <w:pPr>
        <w:pStyle w:val="Heading1"/>
        <w:spacing w:after="120" w:before="260"/>
      </w:pPr>
      <w:r>
        <w:t xml:space="preserve">1. Introdução</w:t>
      </w:r>
    </w:p>
    <w:p>
      <w:pPr>
        <w:spacing w:after="140" w:before="0" w:line="276"/>
        <w:jc w:val="both"/>
      </w:pPr>
      <w:r>
        <w:t xml:space="preserve">O monitoramento subjetivo do humor e da fadiga é sensível, barato e não invasivo, e frequentemente supera marcadores objetivos na detecção precoce de desajustes de treinamento. Sua interpretação, porém, exige rigor psicométrico e métodos que respeitem a estrutura de medidas repetidas. Uma subescala pode "não responder" a um estímulo por dois motivos radicalmente diferentes: porque o fenômeno de fato não ocorre, ou porque o instrumento não consegue medi-lo (efeito piso). Distinguir esses casos é condição para interpretar corretamente o monitoramento do humor.</w:t>
      </w:r>
    </w:p>
    <w:p>
      <w:pPr>
        <w:spacing w:after="140" w:before="0" w:line="276"/>
        <w:jc w:val="both"/>
      </w:pPr>
      <w:r>
        <w:t xml:space="preserve">Este documento reúne, em ordem lógica e cronológica, a auditoria independente e a reanálise completa de um estudo com 27 atletas de handebol de elite acompanhados por um microciclo de sete dias com três sessões de HIIT. A sequência de apresentação segue o encadeamento natural do raciocínio — primeiro a qualidade da medida, depois a resposta aguda, o acúmulo ao longo da semana, o papel do HIIT, a confirmação multivariada, o modelo teórico, o diagnóstico, a individualidade e, por fim, o acoplamento com a carga interna e os autorrelatos complementares.</w:t>
      </w:r>
    </w:p>
    <w:p>
      <w:pPr>
        <w:spacing w:after="140" w:before="0" w:line="276"/>
        <w:jc w:val="both"/>
      </w:pPr>
      <w:r>
        <w:rPr>
          <w:b/>
          <w:bCs/>
        </w:rPr>
        <w:t xml:space="preserve">Objetivo geral. </w:t>
      </w:r>
      <w:r>
        <w:t xml:space="preserve">Avaliar o comportamento do perfil de humor ao longo do microciclo e o quanto esse comportamento pode ser medido de forma confiável, separando o efeito piso da ausência real de efeito.</w:t>
      </w:r>
    </w:p>
    <w:p>
      <w:pPr>
        <w:spacing w:after="140" w:before="0" w:line="276"/>
        <w:jc w:val="both"/>
      </w:pPr>
      <w:r>
        <w:t xml:space="preserve">Hipóteses: (H1) o humor deteriora ao longo da semana, no eixo energia–fadiga; (H2) os dias de HIIT associam-se a mais fadiga, menos vigor e maior perturbação; (H3) as subescalas negativas têm efeito piso e baixa sensibilidade; (H4) a maior parte da variância é traço, tornando frágil a decisão isolada; (H5) o BRUMS é válido no eixo energia–fadiga, e a fragilidade das negativas é piso, não ausência.</w:t>
      </w:r>
    </w:p>
    <w:p>
      <w:pPr>
        <w:pStyle w:val="Heading1"/>
        <w:spacing w:after="120" w:before="260"/>
      </w:pPr>
      <w:r>
        <w:t xml:space="preserve">2. Método</w:t>
      </w:r>
    </w:p>
    <w:p>
      <w:pPr>
        <w:spacing w:after="140" w:before="0" w:line="276"/>
        <w:jc w:val="both"/>
      </w:pPr>
      <w:r>
        <w:rPr>
          <w:b/>
          <w:bCs/>
        </w:rPr>
        <w:t xml:space="preserve">Desenho e amostra. </w:t>
      </w:r>
      <w:r>
        <w:t xml:space="preserve">Estudo observacional longitudinal de medidas repetidas. Vinte e sete atletas foram avaliados em vários momentos (pré e pós-treino) ao longo de sete dias, totalizando 456 observações e 135 pares pré→pós completos. O dia foi derivado do carimbo temporal da coleta; grafias divergentes foram normalizadas a 27 atletas e uma coleta fora da janela foi excluída.</w:t>
      </w:r>
    </w:p>
    <w:p>
      <w:pPr>
        <w:spacing w:after="140" w:before="0" w:line="276"/>
        <w:jc w:val="both"/>
      </w:pPr>
      <w:r>
        <w:rPr>
          <w:b/>
          <w:bCs/>
        </w:rPr>
        <w:t xml:space="preserve">Instrumentos. </w:t>
      </w:r>
      <w:r>
        <w:t xml:space="preserve">Humor pela Escala de Humor de Brunel (BRUMS: tensão, depressão, raiva, vigor, fadiga e confusão), com o índice de Perturbação Total do Humor (PTH/TMD). Complementarmente, quatro autorrelatos externos (fadiga física 0–10, fadiga mental 0–10, estado físico 0–4, estado mental 0–4) e a carga interna por frequência cardíaca (TRIMP de Banister sobre a %HRR) e esforço percebido (PSE; método de Foster).</w:t>
      </w:r>
    </w:p>
    <w:p>
      <w:pPr>
        <w:spacing w:after="140" w:before="0" w:line="276"/>
        <w:jc w:val="both"/>
      </w:pPr>
      <w:r>
        <w:rPr>
          <w:b/>
          <w:bCs/>
        </w:rPr>
        <w:t xml:space="preserve">Cronologia do microciclo. </w:t>
      </w:r>
      <w:r>
        <w:t xml:space="preserve">Sete dias consecutivos; sessões de HIIT nos dias 2, 4 e 7 e trabalho técnico-tático nos dias 1, 3, 5 e 6. Em cada dia, coletas pré e pós-treino permitem separar a resposta aguda (pós − pré) do nível do dia e do acúmulo ao longo da semana.</w:t>
      </w:r>
    </w:p>
    <w:p>
      <w:pPr>
        <w:spacing w:after="140" w:before="0" w:line="276"/>
        <w:jc w:val="both"/>
      </w:pPr>
      <w:r>
        <w:rPr>
          <w:b/>
          <w:bCs/>
        </w:rPr>
        <w:t xml:space="preserve">Análise estatística. </w:t>
      </w:r>
      <w:r>
        <w:t xml:space="preserve">A unidade de análise é o atleta: coletas repetidas são aninhadas, e tratá-las como independentes (pseudorreplicação) inflaria a significância. Empregaram-se modelos de efeitos mistos (com interceptos e, quando cabível, inclinações aleatórias por atleta), testes pareados clássicos (t e Wilcoxon) com tamanho de efeito dz e intervalos de confiança por bootstrap, correção de comparações múltiplas por FDR (Benjamini–Hochberg), análises multivariadas (Hotelling T², MANOVA, PERMANOVA), estimação bayesiana (amostrador de Gibbs) e validação preditiva leave-one-athlete-out. A confiabilidade e a estrutura foram avaliadas por α de Cronbach com IC95%, ω de McDonald, AFC (DWLS), HTMT, TRI/GRM e invariância métrica.</w:t>
      </w:r>
    </w:p>
    <w:p>
      <w:r>
        <w:br w:type="page"/>
      </w:r>
    </w:p>
    <w:p>
      <w:pPr>
        <w:pStyle w:val="Heading1"/>
        <w:spacing w:after="120" w:before="260"/>
      </w:pPr>
      <w:r>
        <w:t xml:space="preserve">3. Resultados e Discussão</w:t>
      </w:r>
    </w:p>
    <w:p>
      <w:pPr>
        <w:spacing w:after="140" w:before="0" w:line="276"/>
        <w:jc w:val="both"/>
      </w:pPr>
      <w:r>
        <w:t xml:space="preserve">A apresentação segue a ordem lógica do raciocínio e a cronologia do microciclo: começa pela qualidade da medida (pré-condição de qualquer conclusão), passa pela resposta aguda dentro do dia e pelo acúmulo ao longo dos sete dias, examina o papel do HIIT, confirma o achado no plano multivariado e teórico, avalia a capacidade diagnóstica, caracteriza a individualidade e encerra no acoplamento com a carga interna e nos autorrelatos complementares.</w:t>
      </w:r>
    </w:p>
    <w:p>
      <w:pPr>
        <w:pStyle w:val="Heading2"/>
        <w:spacing w:after="120" w:before="260"/>
      </w:pPr>
      <w:r>
        <w:t xml:space="preserve">3.1. Qualidade da medida: distribuições, efeito piso, confiabilidade e invariância</w:t>
      </w:r>
    </w:p>
    <w:p>
      <w:pPr>
        <w:spacing w:after="140" w:before="0" w:line="276"/>
        <w:jc w:val="both"/>
      </w:pPr>
      <w:r>
        <w:t xml:space="preserve">Antes de perguntar se o humor muda, é preciso saber se conseguimos medi-lo. As subescalas negativas concentram grande parte das respostas no piso da escala — confusão (80,5% no piso), depressão (67,1%) e raiva (59,6%) —, o que comprime a variância e limita, por construção, a capacidade de detectar mudança. Já a fadiga física, a fadiga e o vigor distribuem-se de forma ampla, sem piso relevante. A não-normalidade é a regra (Shapiro–Wilk), mas a comparação entre testes paramétricos (t) e não-paramétricos (Wilcoxon) concorda nas 11 variáveis, o que dá robustez às decisões inferenciais.</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1500"/>
        <w:gridCol w:w="1500"/>
        <w:gridCol w:w="1500"/>
        <w:gridCol w:w="150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M</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DP</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 piso</w:t>
            </w:r>
          </w:p>
        </w:tc>
        <w:tc>
          <w:tcPr>
            <w:tcW w:type="dxa" w:w="1500"/>
            <w:shd w:fill="EAF1F7" w:color="auto" w:val="clear"/>
            <w:tcMar>
              <w:top w:type="dxa" w:w="40"/>
              <w:left w:type="dxa" w:w="90"/>
              <w:bottom w:type="dxa" w:w="40"/>
              <w:right w:type="dxa" w:w="90"/>
            </w:tcMar>
          </w:tcPr>
          <w:p>
            <w:pPr>
              <w:spacing w:after="0" w:line="240"/>
              <w:jc w:val="right"/>
            </w:pPr>
            <w:r>
              <w:rPr>
                <w:b/>
                <w:bCs/>
                <w:color w:val="16273D"/>
                <w:sz w:val="17"/>
                <w:szCs w:val="17"/>
              </w:rPr>
              <w:t xml:space="preserve">Normal?</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4,39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9,64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6,12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2,34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0,7</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5,64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3,89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7,7</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5,70</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3,12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8,6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4,59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2,81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1,39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1,84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49,6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1,00</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2,31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67,1</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1,60</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2,73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59,6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0,45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1,19</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80,5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Estado físico</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1,83</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1,02</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13,4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Estado mental</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2,36</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1,04</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7,5</w:t>
            </w:r>
          </w:p>
        </w:tc>
        <w:tc>
          <w:tcPr>
            <w:tcW w:type="dxa" w:w="1500"/>
            <w:tcMar>
              <w:top w:type="dxa" w:w="40"/>
              <w:left w:type="dxa" w:w="90"/>
              <w:bottom w:type="dxa" w:w="40"/>
              <w:right w:type="dxa" w:w="90"/>
            </w:tcMar>
          </w:tcPr>
          <w:p>
            <w:pPr>
              <w:spacing w:after="0" w:line="240"/>
              <w:jc w:val="right"/>
            </w:pPr>
            <w:r>
              <w:rPr>
                <w:b w:val="false"/>
                <w:bCs w:val="false"/>
                <w:sz w:val="17"/>
                <w:szCs w:val="17"/>
              </w:rPr>
              <w:t xml:space="preserve">não</w:t>
            </w:r>
          </w:p>
        </w:tc>
      </w:tr>
    </w:tbl>
    <w:p>
      <w:pPr>
        <w:spacing w:after="180" w:before="60"/>
      </w:pPr>
      <w:r>
        <w:rPr>
          <w:i/>
          <w:iCs/>
          <w:color w:val="5B6B82"/>
          <w:sz w:val="17"/>
          <w:szCs w:val="17"/>
        </w:rPr>
        <w:t xml:space="preserve">Tabela 1. Descritivas (amostra completa), efeito piso e normalidade por variável.</w:t>
      </w:r>
    </w:p>
    <w:p>
      <w:pPr>
        <w:spacing w:after="140" w:before="0" w:line="276"/>
        <w:jc w:val="both"/>
      </w:pPr>
      <w:r>
        <w:t xml:space="preserve">A confiabilidade por subescala reproduz a estrutura esperada: raiva, depressão e fadiga têm α e ω acima de 0,80; vigor e confusão são limítrofes (o IC do α alcança 0,70); apenas a tensão é frágil (α </w:t>
      </w:r>
      <w:r>
        <w:t xml:space="preserve">0,43</w:t>
      </w:r>
      <w:r>
        <w:t xml:space="preserve">), coerente com o forte efeito piso. Crucialmente, a medida é </w:t>
      </w:r>
      <w:r>
        <w:rPr>
          <w:b/>
          <w:bCs/>
        </w:rPr>
        <w:t xml:space="preserve">invariante pré→pós</w:t>
      </w:r>
      <w:r>
        <w:t xml:space="preserve"> (congruência de cargas de Tucker φ 0,99 ≥ 0,95; CFI por grupo 1,01/1,02): a mudança observada entre pré e pós é de estado, não um artefato do instrumento. A AFC de seis fatores ajusta bem (CFI 0,92; RMSEA 0,06) e o HTMT máximo (0,846) fica abaixo de 0,85, sustentando a validade discriminante.</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400"/>
        <w:gridCol w:w="2400"/>
        <w:gridCol w:w="1400"/>
        <w:gridCol w:w="14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Subescala</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α</w:t>
            </w:r>
          </w:p>
        </w:tc>
        <w:tc>
          <w:tcPr>
            <w:tcW w:type="dxa" w:w="24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 (α)</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ω</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Adequada?</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[0,34; 0,51]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[0,82; 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[0,85; 0,89]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[0,63; 0,73]</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0,78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limítrofe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0,80</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[0,76; 0,82]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[0,60; 0,70]</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limítrofe</w:t>
            </w:r>
          </w:p>
        </w:tc>
      </w:tr>
    </w:tbl>
    <w:p>
      <w:pPr>
        <w:spacing w:after="180" w:before="60"/>
      </w:pPr>
      <w:r>
        <w:rPr>
          <w:i/>
          <w:iCs/>
          <w:color w:val="5B6B82"/>
          <w:sz w:val="17"/>
          <w:szCs w:val="17"/>
        </w:rPr>
        <w:t xml:space="preserve">Tabela 2. Confiabilidade por subescala (α de Cronbach com IC95%, ω de McDonald).</w:t>
      </w:r>
    </w:p>
    <w:p>
      <w:pPr>
        <w:spacing w:after="140" w:before="0" w:line="276"/>
        <w:jc w:val="both"/>
      </w:pPr>
      <w:r>
        <w:t xml:space="preserve">Discussão. A qualidade da medida ancora todo o resto: onde há piso, a "ausência de resposta" é, em parte, incapacidade de medir (H3 e H5 sustentadas). Reportar a resposta ao treino sem essa ressalva levaria a subestimar a validade do instrumento no eixo em que ele efetivamente discrimina — energia e fadiga.</w:t>
      </w:r>
    </w:p>
    <w:p>
      <w:pPr>
        <w:pStyle w:val="Heading2"/>
        <w:spacing w:after="120" w:before="260"/>
      </w:pPr>
      <w:r>
        <w:t xml:space="preserve">3.2. Resposta aguda pré→pós (dentro do dia)</w:t>
      </w:r>
    </w:p>
    <w:p>
      <w:pPr>
        <w:spacing w:after="140" w:before="0" w:line="276"/>
        <w:jc w:val="both"/>
      </w:pPr>
      <w:r>
        <w:t xml:space="preserve">Passando ao que muda do pré para o pós-treino, e agregando por atleta antes de testar, sobrevivem à correção por FDR exatamente as variáveis do eixo energético: fadiga física (o maior efeito), PTH, fadiga e a queda de vigor; a fadiga mental fica no limiar. As subescalas negativas com piso não respondem — o padrão previsto pela qualidade da medida.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200"/>
        <w:gridCol w:w="900"/>
        <w:gridCol w:w="900"/>
        <w:gridCol w:w="1960"/>
        <w:gridCol w:w="1000"/>
        <w:gridCol w:w="1000"/>
        <w:gridCol w:w="1400"/>
      </w:tblGrid>
      <w:tr>
        <w:trPr>
          <w:tblHeader/>
        </w:trPr>
        <w:tc>
          <w:tcPr>
            <w:tcW w:type="dxa" w:w="220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9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w:t>
            </w:r>
          </w:p>
        </w:tc>
        <w:tc>
          <w:tcPr>
            <w:tcW w:type="dxa" w:w="9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96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 (dz)</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p</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Sobrevive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+1,74</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+1,06</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[0,75; 1,54]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+3,51</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+0,68</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[0,39; 1,04]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+1,72</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[0,40; 0,92]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0,011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-0,96</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[-0,97; -0,22]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0,008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0,017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[0,10; 0,78]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0,031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0,055</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+0,42</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[0,09; 0,76]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0,038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0,057</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+0,36</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[0,07; 0,64]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0,071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0,092</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+0,27</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+0,20</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[-0,18; 0,54]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0,297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0,334</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20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900"/>
            <w:tcMar>
              <w:top w:type="dxa" w:w="40"/>
              <w:left w:type="dxa" w:w="90"/>
              <w:bottom w:type="dxa" w:w="40"/>
              <w:right w:type="dxa" w:w="90"/>
            </w:tcMar>
          </w:tcPr>
          <w:p>
            <w:pPr>
              <w:spacing w:after="0" w:line="240"/>
              <w:jc w:val="right"/>
            </w:pPr>
            <w:r>
              <w:rPr>
                <w:b w:val="false"/>
                <w:bCs w:val="false"/>
                <w:sz w:val="17"/>
                <w:szCs w:val="17"/>
              </w:rPr>
              <w:t xml:space="preserve">-0,10</w:t>
            </w:r>
          </w:p>
        </w:tc>
        <w:tc>
          <w:tcPr>
            <w:tcW w:type="dxa" w:w="1960"/>
            <w:tcMar>
              <w:top w:type="dxa" w:w="40"/>
              <w:left w:type="dxa" w:w="90"/>
              <w:bottom w:type="dxa" w:w="40"/>
              <w:right w:type="dxa" w:w="90"/>
            </w:tcMar>
          </w:tcPr>
          <w:p>
            <w:pPr>
              <w:spacing w:after="0" w:line="240"/>
              <w:jc w:val="left"/>
            </w:pPr>
            <w:r>
              <w:rPr>
                <w:b w:val="false"/>
                <w:bCs w:val="false"/>
                <w:sz w:val="17"/>
                <w:szCs w:val="17"/>
              </w:rPr>
              <w:t xml:space="preserve">[-0,53; 0,28]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0,613</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0,613</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3. Resposta aguda pré→pós por variável (t/Wilcoxon; dz com IC95% por bootstrap; FDR). n = 27.</w:t>
      </w:r>
    </w:p>
    <w:p>
      <w:pPr>
        <w:spacing w:after="140" w:before="0" w:line="276"/>
        <w:jc w:val="both"/>
      </w:pPr>
      <w:r>
        <w:t xml:space="preserve">Discussão. O tamanho de efeito da fadiga física (dz ≈ 1,0) é grande e clinicamente relevante; a queda de vigor e a elevação de fadiga/PTH completam o quadro de custo agudo. A convergência entre t e Wilcoxon e a sobrevivência ao FDR afastam a hipótese de achado espúrio por comparações múltiplas.</w:t>
      </w:r>
    </w:p>
    <w:p>
      <w:pPr>
        <w:pStyle w:val="Heading2"/>
        <w:spacing w:after="120" w:before="260"/>
      </w:pPr>
      <w:r>
        <w:t xml:space="preserve">3.3. Trajetória e acúmulo ao longo do microciclo (D1→D7)</w:t>
      </w:r>
    </w:p>
    <w:p>
      <w:pPr>
        <w:spacing w:after="140" w:before="0" w:line="276"/>
        <w:jc w:val="both"/>
      </w:pPr>
      <w:r>
        <w:t xml:space="preserve">Ao longo dos sete dias, o eixo energia–fadiga desloca-se progressivamente. No modelo de crescimento com inclinação aleatória, a fadiga física acumula de forma robusta (+0,34/dia), assim como a fadiga (+0,30/dia), enquanto o vigor cai (-0,28/dia). O PTH sobe em média, mas com inclinações individuais muito heterogêneas (variância de inclinação 1,13) — a média esconde trajetórias opostas. O nível diário de PTH tem vale no D5 (1,76) e pico no D7 (8,00), o terceiro e último HIIT.</w:t>
      </w:r>
    </w:p>
    <w:p>
      <w:pPr>
        <w:spacing w:after="140" w:before="0" w:line="276"/>
        <w:jc w:val="both"/>
      </w:pPr>
      <w:r>
        <w:t xml:space="preserve">Coerentemente, o "perfil iceberg" (vigor acima das negativas) erode ao longo do dia e da semana: presente em 86% das avaliações pré e 75% no pós (χ²(1) = 4,60; p = 0,032; V de Cramér 0,13). A deterioração é por acúmulo, pior no D7 — não um dia intermediário isolado (H1 sustentada).</w:t>
      </w:r>
    </w:p>
    <w:p>
      <w:pPr>
        <w:spacing w:after="140" w:before="0" w:line="276"/>
        <w:jc w:val="both"/>
      </w:pPr>
      <w:r>
        <w:t xml:space="preserve">Robustez. O padrão sobrevive a verificações: o teste de permutação (sign-flip, 20 000 reamostragens) concorda com o t pareado em todas as variáveis; a transformação logarítmica e a exclusão do único outlier (A06) não mudam nenhuma decisão.</w:t>
      </w:r>
    </w:p>
    <w:p>
      <w:pPr>
        <w:pStyle w:val="Heading2"/>
        <w:spacing w:after="120" w:before="260"/>
      </w:pPr>
      <w:r>
        <w:t xml:space="preserve">3.4. O papel do HIIT: nível do dia versus salto agudo</w:t>
      </w:r>
    </w:p>
    <w:p>
      <w:pPr>
        <w:spacing w:after="140" w:before="0" w:line="276"/>
        <w:jc w:val="both"/>
      </w:pPr>
      <w:r>
        <w:t xml:space="preserve">Nos dias de HIIT o humor é pior no nível do dia (ΔPTH +2,43; p = 0,003). Contudo, a interação Condição × Momento é nula para o PTH (p = 0,910): o salto agudo pré→pós não difere entre HIIT e técnico-tático; apenas a fadiga física é amplificada no agudo (p = 0,035).</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360"/>
        <w:gridCol w:w="2500"/>
        <w:gridCol w:w="1750"/>
        <w:gridCol w:w="1750"/>
      </w:tblGrid>
      <w:tr>
        <w:trPr>
          <w:tblHeader/>
        </w:trPr>
        <w:tc>
          <w:tcPr>
            <w:tcW w:type="dxa" w:w="3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25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(HIIT − sem)</w:t>
            </w:r>
          </w:p>
        </w:tc>
        <w:tc>
          <w:tcPr>
            <w:tcW w:type="dxa" w:w="1750"/>
            <w:shd w:fill="EAF1F7" w:color="auto" w:val="clear"/>
            <w:tcMar>
              <w:top w:type="dxa" w:w="40"/>
              <w:left w:type="dxa" w:w="90"/>
              <w:bottom w:type="dxa" w:w="40"/>
              <w:right w:type="dxa" w:w="90"/>
            </w:tcMar>
          </w:tcPr>
          <w:p>
            <w:pPr>
              <w:spacing w:after="0" w:line="240"/>
              <w:jc w:val="right"/>
            </w:pPr>
            <w:r>
              <w:rPr>
                <w:b/>
                <w:bCs/>
                <w:color w:val="16273D"/>
                <w:sz w:val="17"/>
                <w:szCs w:val="17"/>
              </w:rPr>
              <w:t xml:space="preserve">p</w:t>
            </w:r>
          </w:p>
        </w:tc>
        <w:tc>
          <w:tcPr>
            <w:tcW w:type="dxa" w:w="1750"/>
            <w:shd w:fill="EAF1F7" w:color="auto" w:val="clear"/>
            <w:tcMar>
              <w:top w:type="dxa" w:w="40"/>
              <w:left w:type="dxa" w:w="90"/>
              <w:bottom w:type="dxa" w:w="40"/>
              <w:right w:type="dxa" w:w="90"/>
            </w:tcMar>
          </w:tcPr>
          <w:p>
            <w:pPr>
              <w:spacing w:after="0" w:line="240"/>
              <w:jc w:val="right"/>
            </w:pPr>
            <w:r>
              <w:rPr>
                <w:b/>
                <w:bCs/>
                <w:color w:val="16273D"/>
                <w:sz w:val="17"/>
                <w:szCs w:val="17"/>
              </w:rPr>
              <w:t xml:space="preserve">ICC</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+2,43</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0,003</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0,72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+0,48</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0,023</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0,62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+0,67</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0,036</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0,75</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0,015</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0,72</w:t>
            </w:r>
          </w:p>
        </w:tc>
      </w:tr>
      <w:tr>
        <w:tc>
          <w:tcPr>
            <w:tcW w:type="dxa" w:w="33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+0,20</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0,318</w:t>
            </w:r>
          </w:p>
        </w:tc>
        <w:tc>
          <w:tcPr>
            <w:tcW w:type="dxa" w:w="1750"/>
            <w:tcMar>
              <w:top w:type="dxa" w:w="40"/>
              <w:left w:type="dxa" w:w="90"/>
              <w:bottom w:type="dxa" w:w="40"/>
              <w:right w:type="dxa" w:w="90"/>
            </w:tcMar>
          </w:tcPr>
          <w:p>
            <w:pPr>
              <w:spacing w:after="0" w:line="240"/>
              <w:jc w:val="right"/>
            </w:pPr>
            <w:r>
              <w:rPr>
                <w:b w:val="false"/>
                <w:bCs w:val="false"/>
                <w:sz w:val="17"/>
                <w:szCs w:val="17"/>
              </w:rPr>
              <w:t xml:space="preserve">0,81</w:t>
            </w:r>
          </w:p>
        </w:tc>
      </w:tr>
    </w:tbl>
    <w:p>
      <w:pPr>
        <w:spacing w:after="180" w:before="60"/>
      </w:pPr>
      <w:r>
        <w:rPr>
          <w:i/>
          <w:iCs/>
          <w:color w:val="5B6B82"/>
          <w:sz w:val="17"/>
          <w:szCs w:val="17"/>
        </w:rPr>
        <w:t xml:space="preserve">Tabela 4. Efeito do HIIT no nível do dia (modelo misto).</w:t>
      </w:r>
    </w:p>
    <w:p>
      <w:pPr>
        <w:spacing w:after="140" w:before="0" w:line="276"/>
        <w:jc w:val="both"/>
      </w:pPr>
      <w:r>
        <w:t xml:space="preserve">Comparando os dias entre si: as três sessões de HIIT (D2/D4/D7) são um estímulo agudo equivalente (Friedman n.s. em todas as variáveis); entre os dias sem HIIT, apenas o PTH difere (p = 0,029); e o salto agudo médio por atleta não distingue HIIT de sem-HIIT em nenhuma variável após FDR. A assinatura do HIIT está, portanto, no nível diário e no acúmulo (pico no D7), não num choque agudo específico da sessão (H2 sustentada, com a ressalva de confundimento volume × intensidade).</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400"/>
        <w:gridCol w:w="1400"/>
        <w:gridCol w:w="1200"/>
        <w:gridCol w:w="1400"/>
        <w:gridCol w:w="12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HIIT</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 sem</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4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Difere?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+2,99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+3,49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-0,09</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0,880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+2,00</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+1,35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0,38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0,487</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-0,91</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-1,29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0,18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0,836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+1,68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+1,10</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0,25</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0,735</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+0,52</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1400"/>
            <w:tcMar>
              <w:top w:type="dxa" w:w="40"/>
              <w:left w:type="dxa" w:w="90"/>
              <w:bottom w:type="dxa" w:w="40"/>
              <w:right w:type="dxa" w:w="90"/>
            </w:tcMar>
          </w:tcPr>
          <w:p>
            <w:pPr>
              <w:spacing w:after="0" w:line="240"/>
              <w:jc w:val="right"/>
            </w:pPr>
            <w:r>
              <w:rPr>
                <w:b w:val="false"/>
                <w:bCs w:val="false"/>
                <w:sz w:val="17"/>
                <w:szCs w:val="17"/>
              </w:rPr>
              <w:t xml:space="preserve">0,989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não</w:t>
            </w:r>
          </w:p>
        </w:tc>
      </w:tr>
    </w:tbl>
    <w:p>
      <w:pPr>
        <w:spacing w:after="180" w:before="60"/>
      </w:pPr>
      <w:r>
        <w:rPr>
          <w:i/>
          <w:iCs/>
          <w:color w:val="5B6B82"/>
          <w:sz w:val="17"/>
          <w:szCs w:val="17"/>
        </w:rPr>
        <w:t xml:space="preserve">Tabela 5. HIIT vs. sem-HIIT — resposta aguda média por atleta (Wilcoxon; FDR). n = 25.</w:t>
      </w:r>
    </w:p>
    <w:p>
      <w:pPr>
        <w:pStyle w:val="Heading2"/>
        <w:spacing w:after="120" w:before="260"/>
      </w:pPr>
      <w:r>
        <w:t xml:space="preserve">3.5. Confirmação multivariada do deslocamento</w:t>
      </w:r>
    </w:p>
    <w:p>
      <w:pPr>
        <w:spacing w:after="140" w:before="0" w:line="276"/>
        <w:jc w:val="both"/>
      </w:pPr>
      <w:r>
        <w:t xml:space="preserve">Duas vias independentes convergem. O Hotelling T² sobre as seis subescalas fica no limiar (F(6,21) = 2,52; p = 0,054) porque as quatro negativas diluem o efeito, mas o eixo vigor+fadiga é robusto (F(2,25) = 5,59; p = 0,010). A MANOVA (Pillai 0,06; F = 2,67; p = 0,016) e a PERMANOVA pareada (pseudo-F 10,93; R² 0,17; p = 0,001; permutação restrita por atleta) confirmam o deslocamento multivariado pré→pós, concentrado no eixo energético.</w:t>
      </w:r>
    </w:p>
    <w:p>
      <w:pPr>
        <w:pStyle w:val="Heading2"/>
        <w:spacing w:after="120" w:before="260"/>
      </w:pPr>
      <w:r>
        <w:t xml:space="preserve">3.6. Modelo teórico, coeficiente de determinação e estimação bayesiana</w:t>
      </w:r>
    </w:p>
    <w:p>
      <w:pPr>
        <w:spacing w:after="140" w:before="0" w:line="276"/>
        <w:jc w:val="both"/>
      </w:pPr>
      <w:r>
        <w:t xml:space="preserve">Do modelo fitness–fadiga chega-se a uma forma estimável por modelos mistos (Yᵢⱼₜ = β₀ + β₁·Pós + β₂·Dia + β₃·HIIT + uᵢ + εᵢⱼₜ). O achado central da decomposição de variância explicada é que o R² marginal (só o protocolo — pós, dia, HIIT) é pequeno (0,06–0,21), mas o R² condicional (incluindo o indivíduo) é grande (0,58–0,63): a variância explicável do humor é sobretudo individual (ICC 0,47–0,60).</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650"/>
        <w:gridCol w:w="1800"/>
        <w:gridCol w:w="1150"/>
        <w:gridCol w:w="20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Desfecho</w:t>
            </w:r>
          </w:p>
        </w:tc>
        <w:tc>
          <w:tcPr>
            <w:tcW w:type="dxa" w:w="165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 marginal</w:t>
            </w:r>
          </w:p>
        </w:tc>
        <w:tc>
          <w:tcPr>
            <w:tcW w:type="dxa" w:w="1800"/>
            <w:shd w:fill="EAF1F7" w:color="auto" w:val="clear"/>
            <w:tcMar>
              <w:top w:type="dxa" w:w="40"/>
              <w:left w:type="dxa" w:w="90"/>
              <w:bottom w:type="dxa" w:w="40"/>
              <w:right w:type="dxa" w:w="90"/>
            </w:tcMar>
          </w:tcPr>
          <w:p>
            <w:pPr>
              <w:spacing w:after="0" w:line="240"/>
              <w:jc w:val="right"/>
            </w:pPr>
            <w:r>
              <w:rPr>
                <w:b/>
                <w:bCs/>
                <w:color w:val="16273D"/>
                <w:sz w:val="17"/>
                <w:szCs w:val="17"/>
              </w:rPr>
              <w:t xml:space="preserve">R² condicional</w:t>
            </w:r>
          </w:p>
        </w:tc>
        <w:tc>
          <w:tcPr>
            <w:tcW w:type="dxa" w:w="1150"/>
            <w:shd w:fill="EAF1F7" w:color="auto" w:val="clear"/>
            <w:tcMar>
              <w:top w:type="dxa" w:w="40"/>
              <w:left w:type="dxa" w:w="90"/>
              <w:bottom w:type="dxa" w:w="40"/>
              <w:right w:type="dxa" w:w="90"/>
            </w:tcMar>
          </w:tcPr>
          <w:p>
            <w:pPr>
              <w:spacing w:after="0" w:line="240"/>
              <w:jc w:val="right"/>
            </w:pPr>
            <w:r>
              <w:rPr>
                <w:b/>
                <w:bCs/>
                <w:color w:val="16273D"/>
                <w:sz w:val="17"/>
                <w:szCs w:val="17"/>
              </w:rPr>
              <w:t xml:space="preserve">ICC</w:t>
            </w:r>
          </w:p>
        </w:tc>
        <w:tc>
          <w:tcPr>
            <w:tcW w:type="dxa" w:w="2000"/>
            <w:shd w:fill="EAF1F7" w:color="auto" w:val="clear"/>
            <w:tcMar>
              <w:top w:type="dxa" w:w="40"/>
              <w:left w:type="dxa" w:w="90"/>
              <w:bottom w:type="dxa" w:w="40"/>
              <w:right w:type="dxa" w:w="90"/>
            </w:tcMar>
          </w:tcPr>
          <w:p>
            <w:pPr>
              <w:spacing w:after="0" w:line="240"/>
              <w:jc w:val="right"/>
            </w:pPr>
            <w:r>
              <w:rPr>
                <w:b/>
                <w:bCs/>
                <w:color w:val="16273D"/>
                <w:sz w:val="17"/>
                <w:szCs w:val="17"/>
              </w:rPr>
              <w:t xml:space="preserve">β(Pós) ± EP</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0,59</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+3,47 ± 0,76</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0,21</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0,47</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+1,65 ± 0,20</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0,06</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0,59</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0,57</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-1,09 ± 0,26</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650"/>
            <w:tcMar>
              <w:top w:type="dxa" w:w="40"/>
              <w:left w:type="dxa" w:w="90"/>
              <w:bottom w:type="dxa" w:w="40"/>
              <w:right w:type="dxa" w:w="90"/>
            </w:tcMar>
          </w:tcPr>
          <w:p>
            <w:pPr>
              <w:spacing w:after="0" w:line="240"/>
              <w:jc w:val="right"/>
            </w:pPr>
            <w:r>
              <w:rPr>
                <w:b w:val="false"/>
                <w:bCs w:val="false"/>
                <w:sz w:val="17"/>
                <w:szCs w:val="17"/>
              </w:rPr>
              <w:t xml:space="preserve">0,08</w:t>
            </w:r>
          </w:p>
        </w:tc>
        <w:tc>
          <w:tcPr>
            <w:tcW w:type="dxa" w:w="1800"/>
            <w:tcMar>
              <w:top w:type="dxa" w:w="40"/>
              <w:left w:type="dxa" w:w="90"/>
              <w:bottom w:type="dxa" w:w="40"/>
              <w:right w:type="dxa" w:w="90"/>
            </w:tcMar>
          </w:tcPr>
          <w:p>
            <w:pPr>
              <w:spacing w:after="0" w:line="240"/>
              <w:jc w:val="right"/>
            </w:pPr>
            <w:r>
              <w:rPr>
                <w:b w:val="false"/>
                <w:bCs w:val="false"/>
                <w:sz w:val="17"/>
                <w:szCs w:val="17"/>
              </w:rPr>
              <w:t xml:space="preserve">0,63</w:t>
            </w:r>
          </w:p>
        </w:tc>
        <w:tc>
          <w:tcPr>
            <w:tcW w:type="dxa" w:w="1150"/>
            <w:tcMar>
              <w:top w:type="dxa" w:w="40"/>
              <w:left w:type="dxa" w:w="90"/>
              <w:bottom w:type="dxa" w:w="40"/>
              <w:right w:type="dxa" w:w="90"/>
            </w:tcMar>
          </w:tcPr>
          <w:p>
            <w:pPr>
              <w:spacing w:after="0" w:line="240"/>
              <w:jc w:val="right"/>
            </w:pPr>
            <w:r>
              <w:rPr>
                <w:b w:val="false"/>
                <w:bCs w:val="false"/>
                <w:sz w:val="17"/>
                <w:szCs w:val="17"/>
              </w:rPr>
              <w:t xml:space="preserve">0,60</w:t>
            </w:r>
          </w:p>
        </w:tc>
        <w:tc>
          <w:tcPr>
            <w:tcW w:type="dxa" w:w="2000"/>
            <w:tcMar>
              <w:top w:type="dxa" w:w="40"/>
              <w:left w:type="dxa" w:w="90"/>
              <w:bottom w:type="dxa" w:w="40"/>
              <w:right w:type="dxa" w:w="90"/>
            </w:tcMar>
          </w:tcPr>
          <w:p>
            <w:pPr>
              <w:spacing w:after="0" w:line="240"/>
              <w:jc w:val="right"/>
            </w:pPr>
            <w:r>
              <w:rPr>
                <w:b w:val="false"/>
                <w:bCs w:val="false"/>
                <w:sz w:val="17"/>
                <w:szCs w:val="17"/>
              </w:rPr>
              <w:t xml:space="preserve">+1,50 ± 0,30</w:t>
            </w:r>
          </w:p>
        </w:tc>
      </w:tr>
    </w:tbl>
    <w:p>
      <w:pPr>
        <w:spacing w:after="180" w:before="60"/>
      </w:pPr>
      <w:r>
        <w:rPr>
          <w:i/>
          <w:iCs/>
          <w:color w:val="5B6B82"/>
          <w:sz w:val="17"/>
          <w:szCs w:val="17"/>
        </w:rPr>
        <w:t xml:space="preserve">Tabela 6. Coeficiente de determinação (Nakagawa &amp; Schielzeth) e efeito fixo do pós com erro-padrão.</w:t>
      </w:r>
    </w:p>
    <w:p>
      <w:pPr>
        <w:spacing w:after="140" w:before="0" w:line="276"/>
        <w:jc w:val="both"/>
      </w:pPr>
      <w:r>
        <w:t xml:space="preserve">A estimação bayesiana por Gibbs coincide com a frequentista e reforça a direção do efeito: para o PTH, β posterior 3,48 (ICr95% [1,98; 4,99]; P(efeito&gt;0) = 1,00), e para a fadiga física β 1,65 (P&gt;0 = 1,00). Os fatores de Bayes JZS agregados por atleta corroboram: evidência decisiva para a fadiga física (BF₁₀ ≈ 2444) e evidência de equivalência para a confusão (BF₁₀ ≈ 0,23).</w:t>
      </w:r>
    </w:p>
    <w:p>
      <w:pPr>
        <w:pStyle w:val="Heading2"/>
        <w:spacing w:after="120" w:before="260"/>
      </w:pPr>
      <w:r>
        <w:t xml:space="preserve">3.7. Capacidade diagnóstica (ROC) e derivadas</w:t>
      </w:r>
    </w:p>
    <w:p>
      <w:pPr>
        <w:spacing w:after="140" w:before="0" w:line="276"/>
        <w:jc w:val="both"/>
      </w:pPr>
      <w:r>
        <w:t xml:space="preserve">Para separar o estado pós do pré, apenas a fadiga física atinge AUC 0,70 (IC95% [0,64; 0,77]); as demais ficam próximas do acaso. Para separar dia de HIIT de dia sem HIIT, todas as AUC ficam entre 0,52 e 0,58 — discriminação fraca no nível do dia. Usar a derivada aguda (Δ pós−pré) como escore não supera o nível: a assinatura do HIIT está no nível diário, não no salto.</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060"/>
        <w:gridCol w:w="1300"/>
        <w:gridCol w:w="2400"/>
        <w:gridCol w:w="1300"/>
        <w:gridCol w:w="1300"/>
      </w:tblGrid>
      <w:tr>
        <w:trPr>
          <w:tblHeader/>
        </w:trPr>
        <w:tc>
          <w:tcPr>
            <w:tcW w:type="dxa" w:w="30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w:t>
            </w:r>
          </w:p>
        </w:tc>
        <w:tc>
          <w:tcPr>
            <w:tcW w:type="dxa" w:w="2400"/>
            <w:shd w:fill="EAF1F7" w:color="auto" w:val="clear"/>
            <w:tcMar>
              <w:top w:type="dxa" w:w="40"/>
              <w:left w:type="dxa" w:w="90"/>
              <w:bottom w:type="dxa" w:w="40"/>
              <w:right w:type="dxa" w:w="90"/>
            </w:tcMar>
          </w:tcPr>
          <w:p>
            <w:pPr>
              <w:spacing w:after="0" w:line="240"/>
              <w:jc w:val="left"/>
            </w:pPr>
            <w:r>
              <w:rPr>
                <w:b/>
                <w:bCs/>
                <w:color w:val="16273D"/>
                <w:sz w:val="17"/>
                <w:szCs w:val="17"/>
              </w:rPr>
              <w:t xml:space="preserve">IC95%</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Sens.</w:t>
            </w:r>
          </w:p>
        </w:tc>
        <w:tc>
          <w:tcPr>
            <w:tcW w:type="dxa" w:w="1300"/>
            <w:shd w:fill="EAF1F7" w:color="auto" w:val="clear"/>
            <w:tcMar>
              <w:top w:type="dxa" w:w="40"/>
              <w:left w:type="dxa" w:w="90"/>
              <w:bottom w:type="dxa" w:w="40"/>
              <w:right w:type="dxa" w:w="90"/>
            </w:tcMar>
          </w:tcPr>
          <w:p>
            <w:pPr>
              <w:spacing w:after="0" w:line="240"/>
              <w:jc w:val="right"/>
            </w:pPr>
            <w:r>
              <w:rPr>
                <w:b/>
                <w:bCs/>
                <w:color w:val="16273D"/>
                <w:sz w:val="17"/>
                <w:szCs w:val="17"/>
              </w:rPr>
              <w:t xml:space="preserve">Espec.</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0,70</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[0,64; 0,77]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0,60</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PTH (TMD)</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[0,54; 0,69]</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0,79</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0,40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0,61</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[0,55; 0,68]</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0,43</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0,58</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[0,52; 0,65]</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0,24</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0,88</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[0,51; 0,60]</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0,33</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0,76</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[0,50; 0,59]</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0,64</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[0,50; 0,57]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0,23</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0,83</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[0,50; 0,58]</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0,37</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0,70</w:t>
            </w:r>
          </w:p>
        </w:tc>
      </w:tr>
      <w:tr>
        <w:tc>
          <w:tcPr>
            <w:tcW w:type="dxa" w:w="30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0,51</w:t>
            </w:r>
          </w:p>
        </w:tc>
        <w:tc>
          <w:tcPr>
            <w:tcW w:type="dxa" w:w="2400"/>
            <w:tcMar>
              <w:top w:type="dxa" w:w="40"/>
              <w:left w:type="dxa" w:w="90"/>
              <w:bottom w:type="dxa" w:w="40"/>
              <w:right w:type="dxa" w:w="90"/>
            </w:tcMar>
          </w:tcPr>
          <w:p>
            <w:pPr>
              <w:spacing w:after="0" w:line="240"/>
              <w:jc w:val="left"/>
            </w:pPr>
            <w:r>
              <w:rPr>
                <w:b w:val="false"/>
                <w:bCs w:val="false"/>
                <w:sz w:val="17"/>
                <w:szCs w:val="17"/>
              </w:rPr>
              <w:t xml:space="preserve">[0,50; 0,56]</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0,80</w:t>
            </w:r>
          </w:p>
        </w:tc>
        <w:tc>
          <w:tcPr>
            <w:tcW w:type="dxa" w:w="1300"/>
            <w:tcMar>
              <w:top w:type="dxa" w:w="40"/>
              <w:left w:type="dxa" w:w="90"/>
              <w:bottom w:type="dxa" w:w="40"/>
              <w:right w:type="dxa" w:w="90"/>
            </w:tcMar>
          </w:tcPr>
          <w:p>
            <w:pPr>
              <w:spacing w:after="0" w:line="240"/>
              <w:jc w:val="right"/>
            </w:pPr>
            <w:r>
              <w:rPr>
                <w:b w:val="false"/>
                <w:bCs w:val="false"/>
                <w:sz w:val="17"/>
                <w:szCs w:val="17"/>
              </w:rPr>
              <w:t xml:space="preserve">0,22</w:t>
            </w:r>
          </w:p>
        </w:tc>
      </w:tr>
    </w:tbl>
    <w:p>
      <w:pPr>
        <w:spacing w:after="180" w:before="60"/>
      </w:pPr>
      <w:r>
        <w:rPr>
          <w:i/>
          <w:iCs/>
          <w:color w:val="5B6B82"/>
          <w:sz w:val="17"/>
          <w:szCs w:val="17"/>
        </w:rPr>
        <w:t xml:space="preserve">Tabela 7. ROC — separar pós de pré (AUC com IC95% por bootstrap agrupado por atleta).</w:t>
      </w:r>
    </w:p>
    <w:p>
      <w:pPr>
        <w:pStyle w:val="Heading2"/>
        <w:spacing w:after="120" w:before="260"/>
      </w:pPr>
      <w:r>
        <w:t xml:space="preserve">3.8. A resposta é individual</w:t>
      </w:r>
    </w:p>
    <w:p>
      <w:pPr>
        <w:spacing w:after="140" w:before="0" w:line="276"/>
        <w:jc w:val="both"/>
      </w:pPr>
      <w:r>
        <w:t xml:space="preserve">A maior parte da variância mora entre atletas, não dentro do atleta ao longo da semana. A decomposição de variância mostra predominância de traço na maioria das subescalas, com a fadiga física sendo a mais "de estado" (apenas 40,5% entre atletas). A tipologia (k-médias, cross-validada por Ward) separa cerca de 20 atletas resilientes, 6 perturbados e 1 extremo, com a segmentação explicando η² = 0,70 da variação do PTH.</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4360"/>
        <w:gridCol w:w="2500"/>
        <w:gridCol w:w="2500"/>
      </w:tblGrid>
      <w:tr>
        <w:trPr>
          <w:tblHeader/>
        </w:trPr>
        <w:tc>
          <w:tcPr>
            <w:tcW w:type="dxa" w:w="4360"/>
            <w:shd w:fill="EAF1F7" w:color="auto" w:val="clear"/>
            <w:tcMar>
              <w:top w:type="dxa" w:w="40"/>
              <w:left w:type="dxa" w:w="90"/>
              <w:bottom w:type="dxa" w:w="40"/>
              <w:right w:type="dxa" w:w="90"/>
            </w:tcMar>
          </w:tcPr>
          <w:p>
            <w:pPr>
              <w:spacing w:after="0" w:line="240"/>
              <w:jc w:val="left"/>
            </w:pPr>
            <w:r>
              <w:rPr>
                <w:b/>
                <w:bCs/>
                <w:color w:val="16273D"/>
                <w:sz w:val="17"/>
                <w:szCs w:val="17"/>
              </w:rPr>
              <w:t xml:space="preserve">Variável</w:t>
            </w:r>
          </w:p>
        </w:tc>
        <w:tc>
          <w:tcPr>
            <w:tcW w:type="dxa" w:w="2500"/>
            <w:shd w:fill="EAF1F7" w:color="auto" w:val="clear"/>
            <w:tcMar>
              <w:top w:type="dxa" w:w="40"/>
              <w:left w:type="dxa" w:w="90"/>
              <w:bottom w:type="dxa" w:w="40"/>
              <w:right w:type="dxa" w:w="90"/>
            </w:tcMar>
          </w:tcPr>
          <w:p>
            <w:pPr>
              <w:spacing w:after="0" w:line="240"/>
              <w:jc w:val="right"/>
            </w:pPr>
            <w:r>
              <w:rPr>
                <w:b/>
                <w:bCs/>
                <w:color w:val="16273D"/>
                <w:sz w:val="17"/>
                <w:szCs w:val="17"/>
              </w:rPr>
              <w:t xml:space="preserve">% entre atletas</w:t>
            </w:r>
          </w:p>
        </w:tc>
        <w:tc>
          <w:tcPr>
            <w:tcW w:type="dxa" w:w="2500"/>
            <w:shd w:fill="EAF1F7" w:color="auto" w:val="clear"/>
            <w:tcMar>
              <w:top w:type="dxa" w:w="40"/>
              <w:left w:type="dxa" w:w="90"/>
              <w:bottom w:type="dxa" w:w="40"/>
              <w:right w:type="dxa" w:w="90"/>
            </w:tcMar>
          </w:tcPr>
          <w:p>
            <w:pPr>
              <w:spacing w:after="0" w:line="240"/>
              <w:jc w:val="right"/>
            </w:pPr>
            <w:r>
              <w:rPr>
                <w:b/>
                <w:bCs/>
                <w:color w:val="16273D"/>
                <w:sz w:val="17"/>
                <w:szCs w:val="17"/>
              </w:rPr>
              <w:t xml:space="preserve">Perfil</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70,7%</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69,2%</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PTH</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62,1%</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Fadiga</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57,8%</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57,5%</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traço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41,4%</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estado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FadFis</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40,5%</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estado</w:t>
            </w:r>
          </w:p>
        </w:tc>
      </w:tr>
      <w:tr>
        <w:tc>
          <w:tcPr>
            <w:tcW w:type="dxa" w:w="43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37,0%</w:t>
            </w:r>
          </w:p>
        </w:tc>
        <w:tc>
          <w:tcPr>
            <w:tcW w:type="dxa" w:w="2500"/>
            <w:tcMar>
              <w:top w:type="dxa" w:w="40"/>
              <w:left w:type="dxa" w:w="90"/>
              <w:bottom w:type="dxa" w:w="40"/>
              <w:right w:type="dxa" w:w="90"/>
            </w:tcMar>
          </w:tcPr>
          <w:p>
            <w:pPr>
              <w:spacing w:after="0" w:line="240"/>
              <w:jc w:val="right"/>
            </w:pPr>
            <w:r>
              <w:rPr>
                <w:b w:val="false"/>
                <w:bCs w:val="false"/>
                <w:sz w:val="17"/>
                <w:szCs w:val="17"/>
              </w:rPr>
              <w:t xml:space="preserve">estado</w:t>
            </w:r>
          </w:p>
        </w:tc>
      </w:tr>
    </w:tbl>
    <w:p>
      <w:pPr>
        <w:spacing w:after="180" w:before="60"/>
      </w:pPr>
      <w:r>
        <w:rPr>
          <w:i/>
          <w:iCs/>
          <w:color w:val="5B6B82"/>
          <w:sz w:val="17"/>
          <w:szCs w:val="17"/>
        </w:rPr>
        <w:t xml:space="preserve">Tabela 8. Decomposição da variância: % entre atletas (≥ 50% ≈ traço).</w:t>
      </w:r>
    </w:p>
    <w:p>
      <w:pPr>
        <w:spacing w:after="140" w:before="0" w:line="276"/>
        <w:jc w:val="both"/>
      </w:pPr>
      <w:r>
        <w:t xml:space="preserve">No espaço das taxas de variação (derivadas por atleta), a heterogeneidade é explícita: a fadiga física acumula em 92% dos atletas (marcador homogêneo e confiável), enquanto o PTH acumula em apenas 58% (idiossincrático, DP da inclinação 1,45). Isso reproduz, no plano das velocidades, a variância de inclinação aleatória da modelagem e reforça o monitoramento individualizado por tendência (H4 sustentada).</w:t>
      </w:r>
    </w:p>
    <w:p>
      <w:pPr>
        <w:pStyle w:val="Heading2"/>
        <w:spacing w:after="120" w:before="260"/>
      </w:pPr>
      <w:r>
        <w:t xml:space="preserve">3.9. Acoplamento carga × humor e validação preditiva</w:t>
      </w:r>
    </w:p>
    <w:p>
      <w:pPr>
        <w:spacing w:after="140" w:before="0" w:line="276"/>
        <w:jc w:val="both"/>
      </w:pPr>
      <w:r>
        <w:t xml:space="preserve">As sessões foram de intensidade quase-máxima e estável (%HRR 0,87–0,91). A carga por FC (TRIMP) e por PSE (Foster) são praticamente independentes neste regime de teto (r ≈ -0,05), e — o ponto central — a magnitude da carga não prediz a perturbação aguda do humor (TRIMP × ΔPTH r = -0,32; p = 0,119). Nenhum par carga × humor (PSE, FC, TRIMP × fadiga mental, TMD) é significativo, nem no nível do dia nem no agudo.</w:t>
      </w:r>
    </w:p>
    <w:p>
      <w:pPr>
        <w:spacing w:after="140" w:before="0" w:line="276"/>
        <w:jc w:val="both"/>
      </w:pPr>
      <w:r>
        <w:t xml:space="preserve">A validação leave-one-athlete-out confirma o desacoplamento de forma preditiva: o estado pós é modestamente previsível (R² ≈ 0,3–0,4), mas o sinal vem do baseline do próprio atleta — acrescentar o contexto da sessão (HIIT, dia) ao baseline muda o R² em ≈ 0 (Δ PTH -0,01; fadiga física 0,02; vigor -0,01). Na classificação do dia perturbado, o HIIT está entre as variáveis de menor importância. Custo fisiológico e resposta psicológica se desacoplam no agudo.</w:t>
      </w:r>
    </w:p>
    <w:p>
      <w:pPr>
        <w:pStyle w:val="Heading2"/>
        <w:spacing w:after="120" w:before="260"/>
      </w:pPr>
      <w:r>
        <w:t xml:space="preserve">3.10. Autorrelatos complementares e o item "Sonolento"</w:t>
      </w:r>
    </w:p>
    <w:p>
      <w:pPr>
        <w:spacing w:after="140" w:before="0" w:line="276"/>
        <w:jc w:val="both"/>
      </w:pPr>
      <w:r>
        <w:t xml:space="preserve">Os autorrelatos externos ao BRUMS confirmam o mesmo eixo: os instrumentos físicos respondem forte (fadiga física dz +1,06; estado físico dz −0,93) enquanto os mentais apenas tendem, e todos convergem com os construtos do BRUMS dentro do atleta (validade convergente: fadiga física ↔ Fadiga r = +0,64; estado físico ↔ Fadiga r = −0,65). Os instrumentos mentais são mais de traço (ICC 0,60–0,70) e os físicos mais de estado (ICC ≈ 0,40).</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760"/>
        <w:gridCol w:w="1100"/>
        <w:gridCol w:w="1100"/>
        <w:gridCol w:w="1100"/>
        <w:gridCol w:w="1100"/>
        <w:gridCol w:w="1200"/>
        <w:gridCol w:w="1000"/>
      </w:tblGrid>
      <w:tr>
        <w:trPr>
          <w:tblHeader/>
        </w:trPr>
        <w:tc>
          <w:tcPr>
            <w:tcW w:type="dxa" w:w="2760"/>
            <w:shd w:fill="EAF1F7" w:color="auto" w:val="clear"/>
            <w:tcMar>
              <w:top w:type="dxa" w:w="40"/>
              <w:left w:type="dxa" w:w="90"/>
              <w:bottom w:type="dxa" w:w="40"/>
              <w:right w:type="dxa" w:w="90"/>
            </w:tcMar>
          </w:tcPr>
          <w:p>
            <w:pPr>
              <w:spacing w:after="0" w:line="240"/>
              <w:jc w:val="left"/>
            </w:pPr>
            <w:r>
              <w:rPr>
                <w:b/>
                <w:bCs/>
                <w:color w:val="16273D"/>
                <w:sz w:val="17"/>
                <w:szCs w:val="17"/>
              </w:rPr>
              <w:t xml:space="preserve">Instrumento</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Pré</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Pós</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Δ</w:t>
            </w:r>
          </w:p>
        </w:tc>
        <w:tc>
          <w:tcPr>
            <w:tcW w:type="dxa" w:w="1100"/>
            <w:shd w:fill="EAF1F7" w:color="auto" w:val="clear"/>
            <w:tcMar>
              <w:top w:type="dxa" w:w="40"/>
              <w:left w:type="dxa" w:w="90"/>
              <w:bottom w:type="dxa" w:w="40"/>
              <w:right w:type="dxa" w:w="90"/>
            </w:tcMar>
          </w:tcPr>
          <w:p>
            <w:pPr>
              <w:spacing w:after="0" w:line="240"/>
              <w:jc w:val="right"/>
            </w:pPr>
            <w:r>
              <w:rPr>
                <w:b/>
                <w:bCs/>
                <w:color w:val="16273D"/>
                <w:sz w:val="17"/>
                <w:szCs w:val="17"/>
              </w:rPr>
              <w:t xml:space="preserve">dz</w:t>
            </w:r>
          </w:p>
        </w:tc>
        <w:tc>
          <w:tcPr>
            <w:tcW w:type="dxa" w:w="1200"/>
            <w:shd w:fill="EAF1F7" w:color="auto" w:val="clear"/>
            <w:tcMar>
              <w:top w:type="dxa" w:w="40"/>
              <w:left w:type="dxa" w:w="90"/>
              <w:bottom w:type="dxa" w:w="40"/>
              <w:right w:type="dxa" w:w="90"/>
            </w:tcMar>
          </w:tcPr>
          <w:p>
            <w:pPr>
              <w:spacing w:after="0" w:line="240"/>
              <w:jc w:val="right"/>
            </w:pPr>
            <w:r>
              <w:rPr>
                <w:b/>
                <w:bCs/>
                <w:color w:val="16273D"/>
                <w:sz w:val="17"/>
                <w:szCs w:val="17"/>
              </w:rPr>
              <w:t xml:space="preserve">p (FDR)</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Sig.</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4,95</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6,69</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+1,74</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+1,06</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4,59</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5,12</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+0,53</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+0,44</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0,061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físico</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2,26</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1,64</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-0,62</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-0,93</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&lt; 0,001</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sim</w:t>
            </w:r>
          </w:p>
        </w:tc>
      </w:tr>
      <w:tr>
        <w:tc>
          <w:tcPr>
            <w:tcW w:type="dxa" w:w="2760"/>
            <w:tcMar>
              <w:top w:type="dxa" w:w="40"/>
              <w:left w:type="dxa" w:w="90"/>
              <w:bottom w:type="dxa" w:w="40"/>
              <w:right w:type="dxa" w:w="90"/>
            </w:tcMar>
          </w:tcPr>
          <w:p>
            <w:pPr>
              <w:spacing w:after="0" w:line="240"/>
              <w:jc w:val="left"/>
            </w:pPr>
            <w:r>
              <w:rPr>
                <w:b w:val="false"/>
                <w:bCs w:val="false"/>
                <w:sz w:val="17"/>
                <w:szCs w:val="17"/>
              </w:rPr>
              <w:t xml:space="preserve">Estado mental</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2,43</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2,27</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-0,16</w:t>
            </w:r>
          </w:p>
        </w:tc>
        <w:tc>
          <w:tcPr>
            <w:tcW w:type="dxa" w:w="1100"/>
            <w:tcMar>
              <w:top w:type="dxa" w:w="40"/>
              <w:left w:type="dxa" w:w="90"/>
              <w:bottom w:type="dxa" w:w="40"/>
              <w:right w:type="dxa" w:w="90"/>
            </w:tcMar>
          </w:tcPr>
          <w:p>
            <w:pPr>
              <w:spacing w:after="0" w:line="240"/>
              <w:jc w:val="right"/>
            </w:pPr>
            <w:r>
              <w:rPr>
                <w:b w:val="false"/>
                <w:bCs w:val="false"/>
                <w:sz w:val="17"/>
                <w:szCs w:val="17"/>
              </w:rPr>
              <w:t xml:space="preserve">-0,39</w:t>
            </w:r>
          </w:p>
        </w:tc>
        <w:tc>
          <w:tcPr>
            <w:tcW w:type="dxa" w:w="1200"/>
            <w:tcMar>
              <w:top w:type="dxa" w:w="40"/>
              <w:left w:type="dxa" w:w="90"/>
              <w:bottom w:type="dxa" w:w="40"/>
              <w:right w:type="dxa" w:w="90"/>
            </w:tcMar>
          </w:tcPr>
          <w:p>
            <w:pPr>
              <w:spacing w:after="0" w:line="240"/>
              <w:jc w:val="right"/>
            </w:pPr>
            <w:r>
              <w:rPr>
                <w:b w:val="false"/>
                <w:bCs w:val="false"/>
                <w:sz w:val="17"/>
                <w:szCs w:val="17"/>
              </w:rPr>
              <w:t xml:space="preserve">0,066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w:t>
            </w:r>
          </w:p>
        </w:tc>
      </w:tr>
    </w:tbl>
    <w:p>
      <w:pPr>
        <w:spacing w:after="180" w:before="60"/>
      </w:pPr>
      <w:r>
        <w:rPr>
          <w:i/>
          <w:iCs/>
          <w:color w:val="5B6B82"/>
          <w:sz w:val="17"/>
          <w:szCs w:val="17"/>
        </w:rPr>
        <w:t xml:space="preserve">Tabela 9. Autorrelatos externos ao BRUMS — resposta aguda pré→pós.</w:t>
      </w:r>
    </w:p>
    <w:p>
      <w:pPr>
        <w:spacing w:after="140" w:before="0" w:line="276"/>
        <w:jc w:val="both"/>
      </w:pPr>
      <w:r>
        <w:t xml:space="preserve">Um achado específico e contraintuitivo: o item "Sonolento" (terceiro da subescala Fadiga) comporta-se na contramão dos demais — enquanto Esgotado/Exausto/Cansado sobem pós-treino, a sonolência cai (dz -0,55): o exercício agudo é ativador/despertador, ainda que eleve a exaustão física. O item é praticamente ortogonal aos demais itens de fadiga (rm_corr 0,00–0,10) e removê-lo eleva o α da subescala Fadiga de 0,80 para 0,90 — recomendando tratar a sonolência à parte, no eixo sono↔alerta.</w:t>
      </w:r>
    </w:p>
    <w:p>
      <w:pPr>
        <w:pStyle w:val="Heading2"/>
        <w:spacing w:after="120" w:before="260"/>
      </w:pPr>
      <w:r>
        <w:t xml:space="preserve">3.11. Formalização em cálculo: limites e derivadas do acúmulo de fadiga</w:t>
      </w:r>
    </w:p>
    <w:p>
      <w:pPr>
        <w:spacing w:after="140" w:before="0" w:line="276"/>
        <w:jc w:val="both"/>
      </w:pPr>
      <w:r>
        <w:t xml:space="preserve">A trajetória de acúmulo descrita em 3.3 admite uma formalização em cálculo que torna explícitas as suas propriedades. Ajustando à fadiga física média diária um modelo saturante f(t) = L − (L − f₁)·e^(−k(t−1)) (L = </w:t>
      </w:r>
      <w:r>
        <w:rPr>
          <w:b/>
          <w:bCs/>
        </w:rPr>
        <w:t xml:space="preserve">6,78</w:t>
      </w:r>
      <w:r>
        <w:t xml:space="preserve">; k = </w:t>
      </w:r>
      <w:r>
        <w:rPr>
          <w:b/>
          <w:bCs/>
        </w:rPr>
        <w:t xml:space="preserve">0,76</w:t>
      </w:r>
      <w:r>
        <w:t xml:space="preserve">; R² = </w:t>
      </w:r>
      <w:r>
        <w:rPr>
          <w:b/>
          <w:bCs/>
        </w:rPr>
        <w:t xml:space="preserve">0,76</w:t>
      </w:r>
      <w:r>
        <w:t xml:space="preserve">), a derivada f′(t) é a velocidade de acúmulo por dia. Em t₀ = 2, a razão incremental [f(t₀+h) − f(t₀)]/h converge para f′(t₀) = 0,89 à medida que h → 0 (0,621 → 0,738 → 0,808 → 0,855 → 0,871 → 0,884 → 0,887 para h = 1,00, 0,50, 0,25, 0,10, 0,05, 0,01, 0,001) — a definição de derivada por limite, verificada numericamente.</w:t>
      </w:r>
    </w:p>
    <w:p>
      <w:pPr>
        <w:spacing w:after="140" w:before="0" w:line="276"/>
        <w:jc w:val="both"/>
      </w:pPr>
      <w:r>
        <w:t xml:space="preserve">A derivada é positiva e decrescente, com segunda derivada negativa (f″ &lt; 0): a fadiga acumula, mas cada vez mais devagar, saturando no </w:t>
      </w:r>
      <w:r>
        <w:rPr>
          <w:b/>
          <w:bCs/>
        </w:rPr>
        <w:t xml:space="preserve">limite</w:t>
      </w:r>
      <w:r>
        <w:t xml:space="preserve"> lim(t→∞) f(t) = L ≈ 6,78 — um estado estacionário do acúmulo. No modelo teórico fitness–fadiga, State(t) = k₁·e^(−t/τ₁) − k₂·e^(−t/τ₂), a derivada State′(t) = 0 define o ponto crítico t* = 2,69 — o nadir do estado (pico de fadiga aguda): antes dele o atleta ainda se recupera, depois relaxa de volta à linha de base (lim(t→∞) State(t) = 0). É a leitura em cálculo das três âncoras: acúmulo real, saturação e retorno individual.</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2340"/>
        <w:gridCol w:w="2340"/>
        <w:gridCol w:w="2340"/>
        <w:gridCol w:w="2340"/>
      </w:tblGrid>
      <w:tr>
        <w:trPr>
          <w:tblHeader/>
        </w:trPr>
        <w:tc>
          <w:tcPr>
            <w:tcW w:type="dxa" w:w="2340"/>
            <w:shd w:fill="EAF1F7" w:color="auto" w:val="clear"/>
            <w:tcMar>
              <w:top w:type="dxa" w:w="40"/>
              <w:left w:type="dxa" w:w="90"/>
              <w:bottom w:type="dxa" w:w="40"/>
              <w:right w:type="dxa" w:w="90"/>
            </w:tcMar>
          </w:tcPr>
          <w:p>
            <w:pPr>
              <w:spacing w:after="0" w:line="240"/>
              <w:jc w:val="left"/>
            </w:pPr>
            <w:r>
              <w:rPr>
                <w:b/>
                <w:bCs/>
                <w:color w:val="16273D"/>
                <w:sz w:val="17"/>
                <w:szCs w:val="17"/>
              </w:rPr>
              <w:t xml:space="preserve">Dia (t)</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f(t)</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f′(t)</w:t>
            </w:r>
          </w:p>
        </w:tc>
        <w:tc>
          <w:tcPr>
            <w:tcW w:type="dxa" w:w="2340"/>
            <w:shd w:fill="EAF1F7" w:color="auto" w:val="clear"/>
            <w:tcMar>
              <w:top w:type="dxa" w:w="40"/>
              <w:left w:type="dxa" w:w="90"/>
              <w:bottom w:type="dxa" w:w="40"/>
              <w:right w:type="dxa" w:w="90"/>
            </w:tcMar>
          </w:tcPr>
          <w:p>
            <w:pPr>
              <w:spacing w:after="0" w:line="240"/>
              <w:jc w:val="right"/>
            </w:pPr>
            <w:r>
              <w:rPr>
                <w:b/>
                <w:bCs/>
                <w:color w:val="16273D"/>
                <w:sz w:val="17"/>
                <w:szCs w:val="17"/>
              </w:rPr>
              <w:t xml:space="preserve">f″(t)</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1</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4,29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+1,90</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-1,44</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5,62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+0,89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-0,68</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3</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6,24</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+0,41</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-0,32</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4</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6,53</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+0,19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-0,15</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5</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6,67</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+0,09</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-0,07</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6</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6,73</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+0,04</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-0,03</w:t>
            </w:r>
          </w:p>
        </w:tc>
      </w:tr>
      <w:tr>
        <w:tc>
          <w:tcPr>
            <w:tcW w:type="dxa" w:w="2340"/>
            <w:tcMar>
              <w:top w:type="dxa" w:w="40"/>
              <w:left w:type="dxa" w:w="90"/>
              <w:bottom w:type="dxa" w:w="40"/>
              <w:right w:type="dxa" w:w="90"/>
            </w:tcMar>
          </w:tcPr>
          <w:p>
            <w:pPr>
              <w:spacing w:after="0" w:line="240"/>
              <w:jc w:val="left"/>
            </w:pPr>
            <w:r>
              <w:rPr>
                <w:b w:val="false"/>
                <w:bCs w:val="false"/>
                <w:sz w:val="17"/>
                <w:szCs w:val="17"/>
              </w:rPr>
              <w:t xml:space="preserve">7</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6,76</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+0,02</w:t>
            </w:r>
          </w:p>
        </w:tc>
        <w:tc>
          <w:tcPr>
            <w:tcW w:type="dxa" w:w="2340"/>
            <w:tcMar>
              <w:top w:type="dxa" w:w="40"/>
              <w:left w:type="dxa" w:w="90"/>
              <w:bottom w:type="dxa" w:w="40"/>
              <w:right w:type="dxa" w:w="90"/>
            </w:tcMar>
          </w:tcPr>
          <w:p>
            <w:pPr>
              <w:spacing w:after="0" w:line="240"/>
              <w:jc w:val="right"/>
            </w:pPr>
            <w:r>
              <w:rPr>
                <w:b w:val="false"/>
                <w:bCs w:val="false"/>
                <w:sz w:val="17"/>
                <w:szCs w:val="17"/>
              </w:rPr>
              <w:t xml:space="preserve">-0,01</w:t>
            </w:r>
          </w:p>
        </w:tc>
      </w:tr>
    </w:tbl>
    <w:p>
      <w:pPr>
        <w:spacing w:after="180" w:before="60"/>
      </w:pPr>
      <w:r>
        <w:rPr>
          <w:i/>
          <w:iCs/>
          <w:color w:val="5B6B82"/>
          <w:sz w:val="17"/>
          <w:szCs w:val="17"/>
        </w:rPr>
        <w:t xml:space="preserve">Tabela 10. Função ajustada f(t), velocidade de acúmulo f′(t) e aceleração f″(t) por dia (fadiga física média diária). f′ positiva e decrescente; f″ negativa — acúmulo saturante.</w:t>
      </w:r>
    </w:p>
    <w:p>
      <w:pPr>
        <w:pStyle w:val="Heading2"/>
        <w:spacing w:after="120" w:before="260"/>
      </w:pPr>
      <w:r>
        <w:t xml:space="preserve">3.12. Síntese visual</w:t>
      </w:r>
    </w:p>
    <w:p>
      <w:pPr>
        <w:spacing w:after="40" w:before="120"/>
        <w:jc w:val="center"/>
      </w:pPr>
      <w:r>
        <w:drawing>
          <wp:inline distT="0" distB="0" distL="0" distR="0">
            <wp:extent cx="6096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629150"/>
                    </a:xfrm>
                    <a:prstGeom prst="rect">
                      <a:avLst/>
                    </a:prstGeom>
                  </pic:spPr>
                </pic:pic>
              </a:graphicData>
            </a:graphic>
          </wp:inline>
        </w:drawing>
      </w:r>
    </w:p>
    <w:p>
      <w:pPr>
        <w:spacing w:after="180" w:before="60"/>
      </w:pPr>
      <w:r>
        <w:rPr>
          <w:i/>
          <w:iCs/>
          <w:color w:val="5B6B82"/>
          <w:sz w:val="17"/>
          <w:szCs w:val="17"/>
        </w:rPr>
        <w:t xml:space="preserve">Figura 1. Painel de monitoramento: medidores dos indicadores-chave (dz da fadiga física, AUC, perfil iceberg, HTMT); radar do perfil de humor pré vs. pós (erosão do iceberg); monitoramento diário da carga de humor (D1→D7) com faixas de alerta e dias de HIIT; e mapa 4D por variável (resposta aguda × acúmulo × individualidade × consenso direcional).</w:t>
      </w:r>
    </w:p>
    <w:p>
      <w:r>
        <w:br w:type="page"/>
      </w:r>
    </w:p>
    <w:p>
      <w:pPr>
        <w:pStyle w:val="Heading2"/>
        <w:spacing w:after="120" w:before="260"/>
      </w:pPr>
      <w:r>
        <w:t xml:space="preserve">3.13. Carga interna × perfil de humor e preditores de estado de fadiga</w:t>
      </w:r>
    </w:p>
    <w:p>
      <w:pPr>
        <w:spacing w:after="140" w:before="0" w:line="276"/>
        <w:jc w:val="both"/>
      </w:pPr>
      <w:r>
        <w:t xml:space="preserve">Duas perguntas aplicadas fecham o arco carga→humor, mantendo o atleta como unidade (correlações no nível do atleta, n = 25, com correção FDR) e validação por bootstrap agrupado por atleta. Primeira: a carga interna (PSE, FC de pico, TRIMP) liga-se a cada dimensão do humor? Estendendo o acoplamento a todo o perfil — as seis subescalas e os índices derivados —, o padrão é de desacoplamento: nenhum par carga × humor sobrevive à correção FDR, seja na leitura tônica (média do atleta nos dias de HIIT) ou aguda (Δ pós−pré). Restam apenas dois sinais fracos no p bruto (não após FDR): no agudo, PSE × Tensão (r = +0,41) e PSE × Confusão (r = +0,40) — a percepção de esforço acompanha ativação/confusão momentânea, não fadiga. A carga interna prescreve o estímulo; a resposta de humor carrega informação que a carga objetiva não captura, o que fundamenta a superioridade das medidas subjetivas no monitoramento da resposta ao treino (Saw, Main &amp; Gastin, 2016; Haddad et al., 2017).</w:t>
      </w:r>
    </w:p>
    <w:p>
      <w:pPr>
        <w:spacing w:after="140" w:before="0" w:line="276"/>
        <w:jc w:val="both"/>
      </w:pPr>
      <w:r>
        <w:t xml:space="preserve">Segunda pergunta: entre as variáveis de humor, quais são simultaneamente sensíveis e confiáveis para sinalizar um estado de fadiga alta vs. baixa? Definindo o alvo como o tercil superior vs. inferior da subescala Fadiga (n = 170/163; PTH excluído por conter aritmeticamente a Fadiga), cada preditor concorrente foi avaliado por AUC (Mann–Whitney; IC95% por bootstrap agrupado por atleta), sensibilidade e especificidade no ponto de Youden, e confiabilidade por ICC(2,1) entre medidas repetidas. A fadiga física é o marcador mais sensível (AUC 0,90); seu ICC baixo (0,28) é a assinatura esperada de um bom marcador de estado, que deve oscilar com a carga. A fadiga mental e a depressão combinam sensibilidade com estabilidade (ICC 0,72 e 0,79), sendo os marcadores confiáveis dia a dia; o vigor é sensível pelo eixo energético; e a tensão, apesar de a mais estável, é praticamente cega à fadiga. Por um caminho independente — classificação/ROC — reencontra-se o eixo energia–fadiga dos modelos mistos, da análise fatorial e da invariância.</w:t>
      </w:r>
    </w:p>
    <w:tbl>
      <w:tblPr>
        <w:tblW w:type="dxa" w:w="9360"/>
        <w:tblBorders>
          <w:top w:val="single" w:color="C9D4E0" w:sz="2"/>
          <w:left w:val="single" w:color="C9D4E0" w:sz="2"/>
          <w:bottom w:val="single" w:color="C9D4E0" w:sz="2"/>
          <w:right w:val="single" w:color="C9D4E0" w:sz="2"/>
          <w:insideH w:val="single" w:color="C9D4E0" w:sz="2"/>
          <w:insideV w:val="single" w:color="C9D4E0" w:sz="2"/>
        </w:tblBorders>
      </w:tblPr>
      <w:tblGrid>
        <w:gridCol w:w="3160"/>
        <w:gridCol w:w="1240"/>
        <w:gridCol w:w="1960"/>
        <w:gridCol w:w="1000"/>
        <w:gridCol w:w="1000"/>
        <w:gridCol w:w="1000"/>
      </w:tblGrid>
      <w:tr>
        <w:trPr>
          <w:tblHeader/>
        </w:trPr>
        <w:tc>
          <w:tcPr>
            <w:tcW w:type="dxa" w:w="3160"/>
            <w:shd w:fill="EAF1F7" w:color="auto" w:val="clear"/>
            <w:tcMar>
              <w:top w:type="dxa" w:w="40"/>
              <w:left w:type="dxa" w:w="90"/>
              <w:bottom w:type="dxa" w:w="40"/>
              <w:right w:type="dxa" w:w="90"/>
            </w:tcMar>
          </w:tcPr>
          <w:p>
            <w:pPr>
              <w:spacing w:after="0" w:line="240"/>
              <w:jc w:val="left"/>
            </w:pPr>
            <w:r>
              <w:rPr>
                <w:b/>
                <w:bCs/>
                <w:color w:val="16273D"/>
                <w:sz w:val="17"/>
                <w:szCs w:val="17"/>
              </w:rPr>
              <w:t xml:space="preserve">Preditor</w:t>
            </w:r>
          </w:p>
        </w:tc>
        <w:tc>
          <w:tcPr>
            <w:tcW w:type="dxa" w:w="1240"/>
            <w:shd w:fill="EAF1F7" w:color="auto" w:val="clear"/>
            <w:tcMar>
              <w:top w:type="dxa" w:w="40"/>
              <w:left w:type="dxa" w:w="90"/>
              <w:bottom w:type="dxa" w:w="40"/>
              <w:right w:type="dxa" w:w="90"/>
            </w:tcMar>
          </w:tcPr>
          <w:p>
            <w:pPr>
              <w:spacing w:after="0" w:line="240"/>
              <w:jc w:val="right"/>
            </w:pPr>
            <w:r>
              <w:rPr>
                <w:b/>
                <w:bCs/>
                <w:color w:val="16273D"/>
                <w:sz w:val="17"/>
                <w:szCs w:val="17"/>
              </w:rPr>
              <w:t xml:space="preserve">AUC</w:t>
            </w:r>
          </w:p>
        </w:tc>
        <w:tc>
          <w:tcPr>
            <w:tcW w:type="dxa" w:w="1960"/>
            <w:shd w:fill="EAF1F7" w:color="auto" w:val="clear"/>
            <w:tcMar>
              <w:top w:type="dxa" w:w="40"/>
              <w:left w:type="dxa" w:w="90"/>
              <w:bottom w:type="dxa" w:w="40"/>
              <w:right w:type="dxa" w:w="90"/>
            </w:tcMar>
          </w:tcPr>
          <w:p>
            <w:pPr>
              <w:spacing w:after="0" w:line="240"/>
              <w:jc w:val="right"/>
            </w:pPr>
            <w:r>
              <w:rPr>
                <w:b/>
                <w:bCs/>
                <w:color w:val="16273D"/>
                <w:sz w:val="17"/>
                <w:szCs w:val="17"/>
              </w:rPr>
              <w:t xml:space="preserve">IC95%</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Sensib.</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Especif.</w:t>
            </w:r>
          </w:p>
        </w:tc>
        <w:tc>
          <w:tcPr>
            <w:tcW w:type="dxa" w:w="1000"/>
            <w:shd w:fill="EAF1F7" w:color="auto" w:val="clear"/>
            <w:tcMar>
              <w:top w:type="dxa" w:w="40"/>
              <w:left w:type="dxa" w:w="90"/>
              <w:bottom w:type="dxa" w:w="40"/>
              <w:right w:type="dxa" w:w="90"/>
            </w:tcMar>
          </w:tcPr>
          <w:p>
            <w:pPr>
              <w:spacing w:after="0" w:line="240"/>
              <w:jc w:val="right"/>
            </w:pPr>
            <w:r>
              <w:rPr>
                <w:b/>
                <w:bCs/>
                <w:color w:val="16273D"/>
                <w:sz w:val="17"/>
                <w:szCs w:val="17"/>
              </w:rPr>
              <w:t xml:space="preserve">ICC(2,1)</w:t>
            </w:r>
          </w:p>
        </w:tc>
      </w:tr>
      <w:tr>
        <w:tc>
          <w:tcPr>
            <w:tcW w:type="dxa" w:w="3160"/>
            <w:tcMar>
              <w:top w:type="dxa" w:w="40"/>
              <w:left w:type="dxa" w:w="90"/>
              <w:bottom w:type="dxa" w:w="40"/>
              <w:right w:type="dxa" w:w="90"/>
            </w:tcMar>
          </w:tcPr>
          <w:p>
            <w:pPr>
              <w:spacing w:after="0" w:line="240"/>
              <w:jc w:val="left"/>
            </w:pPr>
            <w:r>
              <w:rPr>
                <w:b w:val="false"/>
                <w:bCs w:val="false"/>
                <w:sz w:val="17"/>
                <w:szCs w:val="17"/>
              </w:rPr>
              <w:t xml:space="preserve">Fadiga física</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0,90</w:t>
            </w:r>
          </w:p>
        </w:tc>
        <w:tc>
          <w:tcPr>
            <w:tcW w:type="dxa" w:w="1960"/>
            <w:tcMar>
              <w:top w:type="dxa" w:w="40"/>
              <w:left w:type="dxa" w:w="90"/>
              <w:bottom w:type="dxa" w:w="40"/>
              <w:right w:type="dxa" w:w="90"/>
            </w:tcMar>
          </w:tcPr>
          <w:p>
            <w:pPr>
              <w:spacing w:after="0" w:line="240"/>
              <w:jc w:val="right"/>
            </w:pPr>
            <w:r>
              <w:rPr>
                <w:b w:val="false"/>
                <w:bCs w:val="false"/>
                <w:sz w:val="17"/>
                <w:szCs w:val="17"/>
              </w:rPr>
              <w:t xml:space="preserve">[0,84; 0,95]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0,85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0,83</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0,28</w:t>
            </w:r>
          </w:p>
        </w:tc>
      </w:tr>
      <w:tr>
        <w:tc>
          <w:tcPr>
            <w:tcW w:type="dxa" w:w="3160"/>
            <w:tcMar>
              <w:top w:type="dxa" w:w="40"/>
              <w:left w:type="dxa" w:w="90"/>
              <w:bottom w:type="dxa" w:w="40"/>
              <w:right w:type="dxa" w:w="90"/>
            </w:tcMar>
          </w:tcPr>
          <w:p>
            <w:pPr>
              <w:spacing w:after="0" w:line="240"/>
              <w:jc w:val="left"/>
            </w:pPr>
            <w:r>
              <w:rPr>
                <w:b w:val="false"/>
                <w:bCs w:val="false"/>
                <w:sz w:val="17"/>
                <w:szCs w:val="17"/>
              </w:rPr>
              <w:t xml:space="preserve">Fadiga mental</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1960"/>
            <w:tcMar>
              <w:top w:type="dxa" w:w="40"/>
              <w:left w:type="dxa" w:w="90"/>
              <w:bottom w:type="dxa" w:w="40"/>
              <w:right w:type="dxa" w:w="90"/>
            </w:tcMar>
          </w:tcPr>
          <w:p>
            <w:pPr>
              <w:spacing w:after="0" w:line="240"/>
              <w:jc w:val="right"/>
            </w:pPr>
            <w:r>
              <w:rPr>
                <w:b w:val="false"/>
                <w:bCs w:val="false"/>
                <w:sz w:val="17"/>
                <w:szCs w:val="17"/>
              </w:rPr>
              <w:t xml:space="preserve">[0,56; 0,90]</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0,65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0,72</w:t>
            </w:r>
          </w:p>
        </w:tc>
      </w:tr>
      <w:tr>
        <w:tc>
          <w:tcPr>
            <w:tcW w:type="dxa" w:w="3160"/>
            <w:tcMar>
              <w:top w:type="dxa" w:w="40"/>
              <w:left w:type="dxa" w:w="90"/>
              <w:bottom w:type="dxa" w:w="40"/>
              <w:right w:type="dxa" w:w="90"/>
            </w:tcMar>
          </w:tcPr>
          <w:p>
            <w:pPr>
              <w:spacing w:after="0" w:line="240"/>
              <w:jc w:val="left"/>
            </w:pPr>
            <w:r>
              <w:rPr>
                <w:b w:val="false"/>
                <w:bCs w:val="false"/>
                <w:sz w:val="17"/>
                <w:szCs w:val="17"/>
              </w:rPr>
              <w:t xml:space="preserve">Vigor</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0,75</w:t>
            </w:r>
          </w:p>
        </w:tc>
        <w:tc>
          <w:tcPr>
            <w:tcW w:type="dxa" w:w="1960"/>
            <w:tcMar>
              <w:top w:type="dxa" w:w="40"/>
              <w:left w:type="dxa" w:w="90"/>
              <w:bottom w:type="dxa" w:w="40"/>
              <w:right w:type="dxa" w:w="90"/>
            </w:tcMar>
          </w:tcPr>
          <w:p>
            <w:pPr>
              <w:spacing w:after="0" w:line="240"/>
              <w:jc w:val="right"/>
            </w:pPr>
            <w:r>
              <w:rPr>
                <w:b w:val="false"/>
                <w:bCs w:val="false"/>
                <w:sz w:val="17"/>
                <w:szCs w:val="17"/>
              </w:rPr>
              <w:t xml:space="preserve">[0,64; 0,85]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0,85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0,56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0,48</w:t>
            </w:r>
          </w:p>
        </w:tc>
      </w:tr>
      <w:tr>
        <w:tc>
          <w:tcPr>
            <w:tcW w:type="dxa" w:w="3160"/>
            <w:tcMar>
              <w:top w:type="dxa" w:w="40"/>
              <w:left w:type="dxa" w:w="90"/>
              <w:bottom w:type="dxa" w:w="40"/>
              <w:right w:type="dxa" w:w="90"/>
            </w:tcMar>
          </w:tcPr>
          <w:p>
            <w:pPr>
              <w:spacing w:after="0" w:line="240"/>
              <w:jc w:val="left"/>
            </w:pPr>
            <w:r>
              <w:rPr>
                <w:b w:val="false"/>
                <w:bCs w:val="false"/>
                <w:sz w:val="17"/>
                <w:szCs w:val="17"/>
              </w:rPr>
              <w:t xml:space="preserve">Depressão</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0,71</w:t>
            </w:r>
          </w:p>
        </w:tc>
        <w:tc>
          <w:tcPr>
            <w:tcW w:type="dxa" w:w="1960"/>
            <w:tcMar>
              <w:top w:type="dxa" w:w="40"/>
              <w:left w:type="dxa" w:w="90"/>
              <w:bottom w:type="dxa" w:w="40"/>
              <w:right w:type="dxa" w:w="90"/>
            </w:tcMar>
          </w:tcPr>
          <w:p>
            <w:pPr>
              <w:spacing w:after="0" w:line="240"/>
              <w:jc w:val="right"/>
            </w:pPr>
            <w:r>
              <w:rPr>
                <w:b w:val="false"/>
                <w:bCs w:val="false"/>
                <w:sz w:val="17"/>
                <w:szCs w:val="17"/>
              </w:rPr>
              <w:t xml:space="preserve">[0,59; 0,80]</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0,85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0,79</w:t>
            </w:r>
          </w:p>
        </w:tc>
      </w:tr>
      <w:tr>
        <w:tc>
          <w:tcPr>
            <w:tcW w:type="dxa" w:w="3160"/>
            <w:tcMar>
              <w:top w:type="dxa" w:w="40"/>
              <w:left w:type="dxa" w:w="90"/>
              <w:bottom w:type="dxa" w:w="40"/>
              <w:right w:type="dxa" w:w="90"/>
            </w:tcMar>
          </w:tcPr>
          <w:p>
            <w:pPr>
              <w:spacing w:after="0" w:line="240"/>
              <w:jc w:val="left"/>
            </w:pPr>
            <w:r>
              <w:rPr>
                <w:b w:val="false"/>
                <w:bCs w:val="false"/>
                <w:sz w:val="17"/>
                <w:szCs w:val="17"/>
              </w:rPr>
              <w:t xml:space="preserve">Raiva</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0,67</w:t>
            </w:r>
          </w:p>
        </w:tc>
        <w:tc>
          <w:tcPr>
            <w:tcW w:type="dxa" w:w="1960"/>
            <w:tcMar>
              <w:top w:type="dxa" w:w="40"/>
              <w:left w:type="dxa" w:w="90"/>
              <w:bottom w:type="dxa" w:w="40"/>
              <w:right w:type="dxa" w:w="90"/>
            </w:tcMar>
          </w:tcPr>
          <w:p>
            <w:pPr>
              <w:spacing w:after="0" w:line="240"/>
              <w:jc w:val="right"/>
            </w:pPr>
            <w:r>
              <w:rPr>
                <w:b w:val="false"/>
                <w:bCs w:val="false"/>
                <w:sz w:val="17"/>
                <w:szCs w:val="17"/>
              </w:rPr>
              <w:t xml:space="preserve">[0,57; 0,77]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0,76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0,19</w:t>
            </w:r>
          </w:p>
        </w:tc>
      </w:tr>
      <w:tr>
        <w:tc>
          <w:tcPr>
            <w:tcW w:type="dxa" w:w="3160"/>
            <w:tcMar>
              <w:top w:type="dxa" w:w="40"/>
              <w:left w:type="dxa" w:w="90"/>
              <w:bottom w:type="dxa" w:w="40"/>
              <w:right w:type="dxa" w:w="90"/>
            </w:tcMar>
          </w:tcPr>
          <w:p>
            <w:pPr>
              <w:spacing w:after="0" w:line="240"/>
              <w:jc w:val="left"/>
            </w:pPr>
            <w:r>
              <w:rPr>
                <w:b w:val="false"/>
                <w:bCs w:val="false"/>
                <w:sz w:val="17"/>
                <w:szCs w:val="17"/>
              </w:rPr>
              <w:t xml:space="preserve">Confusão</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0,55</w:t>
            </w:r>
          </w:p>
        </w:tc>
        <w:tc>
          <w:tcPr>
            <w:tcW w:type="dxa" w:w="1960"/>
            <w:tcMar>
              <w:top w:type="dxa" w:w="40"/>
              <w:left w:type="dxa" w:w="90"/>
              <w:bottom w:type="dxa" w:w="40"/>
              <w:right w:type="dxa" w:w="90"/>
            </w:tcMar>
          </w:tcPr>
          <w:p>
            <w:pPr>
              <w:spacing w:after="0" w:line="240"/>
              <w:jc w:val="right"/>
            </w:pPr>
            <w:r>
              <w:rPr>
                <w:b w:val="false"/>
                <w:bCs w:val="false"/>
                <w:sz w:val="17"/>
                <w:szCs w:val="17"/>
              </w:rPr>
              <w:t xml:space="preserve">[0,50; 0,66]</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0,25</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0,84</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0,41</w:t>
            </w:r>
          </w:p>
        </w:tc>
      </w:tr>
      <w:tr>
        <w:tc>
          <w:tcPr>
            <w:tcW w:type="dxa" w:w="3160"/>
            <w:tcMar>
              <w:top w:type="dxa" w:w="40"/>
              <w:left w:type="dxa" w:w="90"/>
              <w:bottom w:type="dxa" w:w="40"/>
              <w:right w:type="dxa" w:w="90"/>
            </w:tcMar>
          </w:tcPr>
          <w:p>
            <w:pPr>
              <w:spacing w:after="0" w:line="240"/>
              <w:jc w:val="left"/>
            </w:pPr>
            <w:r>
              <w:rPr>
                <w:b w:val="false"/>
                <w:bCs w:val="false"/>
                <w:sz w:val="17"/>
                <w:szCs w:val="17"/>
              </w:rPr>
              <w:t xml:space="preserve">Tensão</w:t>
            </w:r>
          </w:p>
        </w:tc>
        <w:tc>
          <w:tcPr>
            <w:tcW w:type="dxa" w:w="1240"/>
            <w:tcMar>
              <w:top w:type="dxa" w:w="40"/>
              <w:left w:type="dxa" w:w="90"/>
              <w:bottom w:type="dxa" w:w="40"/>
              <w:right w:type="dxa" w:w="90"/>
            </w:tcMar>
          </w:tcPr>
          <w:p>
            <w:pPr>
              <w:spacing w:after="0" w:line="240"/>
              <w:jc w:val="right"/>
            </w:pPr>
            <w:r>
              <w:rPr>
                <w:b w:val="false"/>
                <w:bCs w:val="false"/>
                <w:sz w:val="17"/>
                <w:szCs w:val="17"/>
              </w:rPr>
              <w:t xml:space="preserve">0,54</w:t>
            </w:r>
          </w:p>
        </w:tc>
        <w:tc>
          <w:tcPr>
            <w:tcW w:type="dxa" w:w="1960"/>
            <w:tcMar>
              <w:top w:type="dxa" w:w="40"/>
              <w:left w:type="dxa" w:w="90"/>
              <w:bottom w:type="dxa" w:w="40"/>
              <w:right w:type="dxa" w:w="90"/>
            </w:tcMar>
          </w:tcPr>
          <w:p>
            <w:pPr>
              <w:spacing w:after="0" w:line="240"/>
              <w:jc w:val="right"/>
            </w:pPr>
            <w:r>
              <w:rPr>
                <w:b w:val="false"/>
                <w:bCs w:val="false"/>
                <w:sz w:val="17"/>
                <w:szCs w:val="17"/>
              </w:rPr>
              <w:t xml:space="preserve">[0,50; 0,68]</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0,52</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0,57</w:t>
            </w:r>
          </w:p>
        </w:tc>
        <w:tc>
          <w:tcPr>
            <w:tcW w:type="dxa" w:w="1000"/>
            <w:tcMar>
              <w:top w:type="dxa" w:w="40"/>
              <w:left w:type="dxa" w:w="90"/>
              <w:bottom w:type="dxa" w:w="40"/>
              <w:right w:type="dxa" w:w="90"/>
            </w:tcMar>
          </w:tcPr>
          <w:p>
            <w:pPr>
              <w:spacing w:after="0" w:line="240"/>
              <w:jc w:val="right"/>
            </w:pPr>
            <w:r>
              <w:rPr>
                <w:b w:val="false"/>
                <w:bCs w:val="false"/>
                <w:sz w:val="17"/>
                <w:szCs w:val="17"/>
              </w:rPr>
              <w:t xml:space="preserve">0,83</w:t>
            </w:r>
          </w:p>
        </w:tc>
      </w:tr>
    </w:tbl>
    <w:p>
      <w:pPr>
        <w:spacing w:after="180" w:before="60"/>
      </w:pPr>
      <w:r>
        <w:rPr>
          <w:i/>
          <w:iCs/>
          <w:color w:val="5B6B82"/>
          <w:sz w:val="17"/>
          <w:szCs w:val="17"/>
        </w:rPr>
        <w:t xml:space="preserve">Tabela 11. Preditores de estado de fadiga alta vs. baixa: sensibilidade (AUC, Youden) e confiabilidade (ICC 2,1). A fadiga física lidera a sensibilidade; fadiga mental e depressão reúnem sensibilidade e estabilidade.</w:t>
      </w:r>
    </w:p>
    <w:p>
      <w:pPr>
        <w:spacing w:after="40" w:before="120"/>
        <w:jc w:val="center"/>
      </w:pPr>
      <w:r>
        <w:drawing>
          <wp:inline distT="0" distB="0" distL="0" distR="0">
            <wp:extent cx="6286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800350"/>
                    </a:xfrm>
                    <a:prstGeom prst="rect">
                      <a:avLst/>
                    </a:prstGeom>
                  </pic:spPr>
                </pic:pic>
              </a:graphicData>
            </a:graphic>
          </wp:inline>
        </w:drawing>
      </w:r>
    </w:p>
    <w:p>
      <w:pPr>
        <w:spacing w:after="180" w:before="60"/>
      </w:pPr>
      <w:r>
        <w:rPr>
          <w:i/>
          <w:iCs/>
          <w:color w:val="5B6B82"/>
          <w:sz w:val="17"/>
          <w:szCs w:val="17"/>
        </w:rPr>
        <w:t xml:space="preserve">Figura 2. Carga interna × perfil de humor (acoplamento tônico e agudo, com FDR) e preditores de estado de fadiga no plano sensibilidade (AUC) × confiabilidade (ICC 2,1).</w:t>
      </w:r>
    </w:p>
    <w:p>
      <w:pPr>
        <w:pStyle w:val="Heading2"/>
        <w:spacing w:after="120" w:before="260"/>
      </w:pPr>
      <w:r>
        <w:t xml:space="preserve">3.14. Discussão integrada: dos objetivos aos achados</w:t>
      </w:r>
    </w:p>
    <w:p>
      <w:pPr>
        <w:spacing w:after="140" w:before="0" w:line="276"/>
        <w:jc w:val="both"/>
      </w:pPr>
      <w:r>
        <w:rPr>
          <w:b/>
          <w:bCs/>
        </w:rPr>
        <w:t xml:space="preserve">Interpretação estatística. </w:t>
      </w:r>
      <w:r>
        <w:t xml:space="preserve">A inferência apoia-se em modelos mistos com o atleta como efeito aleatório, que separam variância de traço, dia e estado — condição para falar de resposta ao treino sem pseudorreplicação. Sobre essa base, controle de multiplicidade por FDR, tamanhos de efeito intra-sujeito (dz) e bootstrap agrupado por atleta dão robustez; e a convergência entre famílias que raramente erram juntas (t e Wilcoxon/Friedman, frequentista e bayesiana, univariada e multivariada) indica que o achado é do fenômeno, não do método.</w:t>
      </w:r>
    </w:p>
    <w:p>
      <w:pPr>
        <w:spacing w:after="140" w:before="0" w:line="276"/>
        <w:jc w:val="both"/>
      </w:pPr>
      <w:r>
        <w:rPr>
          <w:b/>
          <w:bCs/>
        </w:rPr>
        <w:t xml:space="preserve">Interpretação fisiológica. </w:t>
      </w:r>
      <w:r>
        <w:t xml:space="preserve">As sessões foram quase-máximas (FC de pico 181–184 bpm; %HRR 0,87–0,91; PSE final 9,3–9,6). O custo alto e homogêneo traduz-se em fadiga física (dz ≈ 1,0), que acumula e é a única dimensão amplificada pelo HIIT no agudo. O desacoplamento carga↔humor mostra que, num regime de teto, a variação relevante do humor depende de fatores individuais de tolerância e recuperação, não do custo cardiovascular da sessão.</w:t>
      </w:r>
    </w:p>
    <w:p>
      <w:pPr>
        <w:spacing w:after="140" w:before="0" w:line="276"/>
        <w:jc w:val="both"/>
      </w:pPr>
      <w:r>
        <w:rPr>
          <w:b/>
          <w:bCs/>
        </w:rPr>
        <w:t xml:space="preserve">Interpretação psicológica. </w:t>
      </w:r>
      <w:r>
        <w:t xml:space="preserve">A mudança pré→pós é um deslocamento de estado sobre o eixo energia–fadiga (vigor achata, fadiga sobe; negativas quase paradas) — erosão do perfil "iceberg". A invariância de medida (métrica sustentada; escalar aproximada; estrita no limite, com a quebra localizada no item "Sonolento") confirma que o HIIT muda o estado medido, não o significado do instrumento; o deslocamento latente recai sobre fadiga (+0,56) e vigor (−0,26). O padrão é coerente com a resposta afetiva a exercício intervalado intenso (Marques et al., 2020; Patten et al., 2022).</w:t>
      </w:r>
    </w:p>
    <w:p>
      <w:pPr>
        <w:spacing w:after="140" w:before="0" w:line="276"/>
        <w:jc w:val="both"/>
      </w:pPr>
      <w:r>
        <w:rPr>
          <w:b/>
          <w:bCs/>
        </w:rPr>
        <w:t xml:space="preserve">Pontos fortes, validade e impactos. </w:t>
      </w:r>
      <w:r>
        <w:t xml:space="preserve">Disciplina de atleta-como-unidade, triangulação por métodos independentes, caracterização psicométrica completa (confiabilidade, AFC, AFE, TRI, invariância configural→estrita/parcial) e reprodutibilidade por código. Validade convergente (BRUMS ↔ autorrelatos externos), de construto (invariância) e diagnóstica (AUC). Impacto aplicado: um protocolo de monitoramento parcimonioso — fadiga física (sensível) e fadiga mental/depressão (estáveis) — para individualizar carga e recuperação; com a ressalva honesta de que a FC/TRIMP não substituem o autorrelato e de que decisões pela média do grupo podem prejudicar subgrupos.</w:t>
      </w:r>
    </w:p>
    <w:p>
      <w:r>
        <w:br w:type="page"/>
      </w:r>
    </w:p>
    <w:p>
      <w:pPr>
        <w:pStyle w:val="Heading1"/>
        <w:spacing w:after="120" w:before="260"/>
      </w:pPr>
      <w:r>
        <w:t xml:space="preserve">4. Conclusões</w:t>
      </w:r>
    </w:p>
    <w:p>
      <w:pPr>
        <w:spacing w:after="140" w:before="0" w:line="276"/>
        <w:jc w:val="both"/>
      </w:pPr>
      <w:r>
        <w:t xml:space="preserve">Os planos psicométrico e analítico convergem para três conclusões-âncora:</w:t>
      </w:r>
    </w:p>
    <w:p>
      <w:pPr>
        <w:spacing w:after="140" w:before="0" w:line="276"/>
        <w:jc w:val="both"/>
      </w:pPr>
      <w:r>
        <w:rPr>
          <w:b/>
          <w:bCs/>
        </w:rPr>
        <w:t xml:space="preserve">(1) A resposta mora no eixo energia–fadiga. </w:t>
      </w:r>
      <w:r>
        <w:t xml:space="preserve">A variável mais confiável e sem piso — a fadiga física — é também a de maior resposta aguda (dz ≈ 1), maior acúmulo semanal e a única amplificada pelo HIIT no agudo. As negativas com efeito piso não respondem por limitação de medida, não por ausência de fenômeno.</w:t>
      </w:r>
    </w:p>
    <w:p>
      <w:pPr>
        <w:spacing w:after="140" w:before="0" w:line="276"/>
        <w:jc w:val="both"/>
      </w:pPr>
      <w:r>
        <w:rPr>
          <w:b/>
          <w:bCs/>
        </w:rPr>
        <w:t xml:space="preserve">(2) A resposta é fortemente individual. </w:t>
      </w:r>
      <w:r>
        <w:t xml:space="preserve">A maior parte da variância é traço (ICC 0,42–0,71); o PTH acumula de forma idiossincrática (só 58% dos atletas), enquanto a fadiga física acumula em 92%. A média esconde trajetórias opostas — daí a necessidade de monitoramento individualizado por tendência.</w:t>
      </w:r>
    </w:p>
    <w:p>
      <w:pPr>
        <w:spacing w:after="140" w:before="0" w:line="276"/>
        <w:jc w:val="both"/>
      </w:pPr>
      <w:r>
        <w:rPr>
          <w:b/>
          <w:bCs/>
        </w:rPr>
        <w:t xml:space="preserve">(3) Carga alta não é humor pior. </w:t>
      </w:r>
      <w:r>
        <w:t xml:space="preserve">O custo cardiovascular quase-máximo não prediz a perturbação aguda do humor (r ≈ −0,05 a −0,32, n.s.); custo fisiológico e resposta psicológica se desacoplam no agudo.</w:t>
      </w:r>
    </w:p>
    <w:p>
      <w:pPr>
        <w:spacing w:after="140" w:before="0" w:line="276"/>
        <w:jc w:val="both"/>
      </w:pPr>
      <w:r>
        <w:rPr>
          <w:b/>
          <w:bCs/>
        </w:rPr>
        <w:t xml:space="preserve">Aplicações. </w:t>
      </w:r>
      <w:r>
        <w:t xml:space="preserve">Monitorar preferencialmente a fadiga física (sentinela sensível e confiável), por tendência individual ao longo do microciclo, com atenção redobrada ao acúmulo até o fim da semana. Interpretar as subescalas negativas com cautela (efeito piso) e tratar a sonolência à parte da fadiga.</w:t>
      </w:r>
    </w:p>
    <w:p>
      <w:pPr>
        <w:spacing w:after="140" w:before="0" w:line="276"/>
        <w:jc w:val="both"/>
      </w:pPr>
      <w:r>
        <w:rPr>
          <w:b/>
          <w:bCs/>
        </w:rPr>
        <w:t xml:space="preserve">Limitações. </w:t>
      </w:r>
      <w:r>
        <w:t xml:space="preserve">Desenho observacional; possível confundimento entre volume e intensidade nos dias de HIIT; carga interna por FC sem duração registrada (TRIMP relativo por sessão); efeito de teto na carga que comprime a variância explicativa; itens com efeito piso (tensão, confusão); sonolência medida por um único item; amostra de um único clube. A contribuição metodológica central — respeitar a estrutura de medidas repetidas — protege as conclusões contra a pseudorreplicação.</w:t>
      </w:r>
    </w:p>
    <w:p>
      <w:pPr>
        <w:spacing w:after="140" w:before="0" w:line="276"/>
        <w:jc w:val="both"/>
      </w:pPr>
      <w:r>
        <w:rPr>
          <w:b/>
          <w:bCs/>
        </w:rPr>
        <w:t xml:space="preserve">Direções futuras. </w:t>
      </w:r>
      <w:r>
        <w:t xml:space="preserve">(1) desenhos com manipulação da carga (dias pareados de alta vs. baixa intensidade) para testar causalidade; (2) séries temporais mais densas por atleta, viabilizando modelos dinâmicos individuais e o mapeamento de não-respondedores; (3) escala de sono/alerta dedicada, dado que o eixo sono↔alerta se mostrou ortogonal à fadiga; (4) marcadores objetivos de recuperação (VFC, sono) para testar se explicam a variância individual que a carga não captura; (5) validação prospectiva do protocolo parcimonioso (fadiga física + fadiga mental/depressão) contra desfechos de desempenho e lesão.</w:t>
      </w:r>
    </w:p>
    <w:p>
      <w:r>
        <w:br w:type="page"/>
      </w:r>
    </w:p>
    <w:p>
      <w:pPr>
        <w:pStyle w:val="Heading1"/>
        <w:spacing w:after="120" w:before="260"/>
      </w:pPr>
      <w:r>
        <w:t xml:space="preserve">Referências</w:t>
      </w:r>
    </w:p>
    <w:p>
      <w:pPr>
        <w:spacing w:after="100" w:line="260"/>
        <w:jc w:val="both"/>
      </w:pPr>
      <w:r>
        <w:rPr>
          <w:sz w:val="19"/>
          <w:szCs w:val="19"/>
        </w:rPr>
        <w:t xml:space="preserve">ALMEIDA, F. R. et al. Psychometric properties of the Brazilian version of the BRUMS scale for basketball referees. [S. l.: s. n.], 2018.</w:t>
      </w:r>
    </w:p>
    <w:p>
      <w:pPr>
        <w:spacing w:after="100" w:line="260"/>
        <w:jc w:val="both"/>
      </w:pPr>
      <w:r>
        <w:rPr>
          <w:sz w:val="19"/>
          <w:szCs w:val="19"/>
        </w:rPr>
        <w:t xml:space="preserve">ANDERSON, M. J. A new method for non-parametric multivariate analysis of variance. Austral Ecology, v. 26, n. 1, p. 32-46, 2001.</w:t>
      </w:r>
    </w:p>
    <w:p>
      <w:pPr>
        <w:spacing w:after="100" w:line="260"/>
        <w:jc w:val="both"/>
      </w:pPr>
      <w:r>
        <w:rPr>
          <w:sz w:val="19"/>
          <w:szCs w:val="19"/>
        </w:rPr>
        <w:t xml:space="preserve">ANDERSON, M. J.; WALSH, D. C. I. PERMANOVA, ANOSIM, and the Mantel test in the face of heterogeneous dispersions: What null hypothesis are you testing? Ecological Monographs, v. 83, n. 4, p. 557-574, 2013. DOI: https://doi.org/10.1890/12-2010.1.</w:t>
      </w:r>
    </w:p>
    <w:p>
      <w:pPr>
        <w:spacing w:after="100" w:line="260"/>
        <w:jc w:val="both"/>
      </w:pPr>
      <w:r>
        <w:rPr>
          <w:sz w:val="19"/>
          <w:szCs w:val="19"/>
        </w:rPr>
        <w:t xml:space="preserve">BAKDASH, J. Z.; MARUSICH, L. R. Repeated measures correlation. Frontiers in Psychology, v. 8, p. 456, 2017.</w:t>
      </w:r>
    </w:p>
    <w:p>
      <w:pPr>
        <w:spacing w:after="100" w:line="260"/>
        <w:jc w:val="both"/>
      </w:pPr>
      <w:r>
        <w:rPr>
          <w:sz w:val="19"/>
          <w:szCs w:val="19"/>
        </w:rPr>
        <w:t xml:space="preserve">BAKER, F. B. The basics of item response theory. 2. ed. [S. l.]: ERIC Clearinghouse on Assessment and Evaluation, 2001.</w:t>
      </w:r>
    </w:p>
    <w:p>
      <w:pPr>
        <w:spacing w:after="100" w:line="260"/>
        <w:jc w:val="both"/>
      </w:pPr>
      <w:r>
        <w:rPr>
          <w:sz w:val="19"/>
          <w:szCs w:val="19"/>
        </w:rPr>
        <w:t xml:space="preserve">BANISTER, E. W. Modeling elite athletic performance. In: MACDOUGALL, J. D.; WENGER, H. A.; GREEN, H. J. (ed.). Physiological testing of the high-performance athlete. 2. ed. [S. l.]: Human Kinetics, 1991. p. 403-424.</w:t>
      </w:r>
    </w:p>
    <w:p>
      <w:pPr>
        <w:spacing w:after="100" w:line="260"/>
        <w:jc w:val="both"/>
      </w:pPr>
      <w:r>
        <w:rPr>
          <w:sz w:val="19"/>
          <w:szCs w:val="19"/>
        </w:rPr>
        <w:t xml:space="preserve">BATES, D.; MÄCHLER, M.; BOLKER, B.; WALKER, S. Fitting linear mixed-effects models using lme4. Journal of Statistical Software, v. 67, n. 1, p. 1-48, 2015.</w:t>
      </w:r>
    </w:p>
    <w:p>
      <w:pPr>
        <w:spacing w:after="100" w:line="260"/>
        <w:jc w:val="both"/>
      </w:pPr>
      <w:r>
        <w:rPr>
          <w:sz w:val="19"/>
          <w:szCs w:val="19"/>
        </w:rPr>
        <w:t xml:space="preserve">BEEDIE, C. J.; TERRY, P. C.; LANE, A. M. The profile of mood states and athletic performance: two meta-analyses. Journal of Applied Sport Psychology, v. 12, n. 1, p. 49-68, 2000. DOI: https://doi.org/10.1080/10413200008404213.</w:t>
      </w:r>
    </w:p>
    <w:p>
      <w:pPr>
        <w:spacing w:after="100" w:line="260"/>
        <w:jc w:val="both"/>
      </w:pPr>
      <w:r>
        <w:rPr>
          <w:sz w:val="19"/>
          <w:szCs w:val="19"/>
        </w:rPr>
        <w:t xml:space="preserve">BENJAMINI, Y.; HOCHBERG, Y. Controlling the false discovery rate. Journal of the Royal Statistical Society B, v. 57, n. 1, p. 289-300, 1995.</w:t>
      </w:r>
    </w:p>
    <w:p>
      <w:pPr>
        <w:spacing w:after="100" w:line="260"/>
        <w:jc w:val="both"/>
      </w:pPr>
      <w:r>
        <w:rPr>
          <w:sz w:val="19"/>
          <w:szCs w:val="19"/>
        </w:rPr>
        <w:t xml:space="preserve">BORRESEN, J.; LAMBERT, M. I. The quantification of training load, the training response and the effect on performance. Sports Medicine, v. 39, n. 9, p. 779-795, 2009. DOI: https://doi.org/10.2165/11317780-000000000-00000.</w:t>
      </w:r>
    </w:p>
    <w:p>
      <w:pPr>
        <w:spacing w:after="100" w:line="260"/>
        <w:jc w:val="both"/>
      </w:pPr>
      <w:r>
        <w:rPr>
          <w:sz w:val="19"/>
          <w:szCs w:val="19"/>
        </w:rPr>
        <w:t xml:space="preserve">BOURDON, P. C. et al. Monitoring athlete training loads: consensus statement. International Journal of Sports Physiology and Performance, v. 12, n. s2, p. S2-161-S2-170, 2017. DOI: https://doi.org/10.1123/ijspp.2017-0208.</w:t>
      </w:r>
    </w:p>
    <w:p>
      <w:pPr>
        <w:spacing w:after="100" w:line="260"/>
        <w:jc w:val="both"/>
      </w:pPr>
      <w:r>
        <w:rPr>
          <w:sz w:val="19"/>
          <w:szCs w:val="19"/>
        </w:rPr>
        <w:t xml:space="preserve">BUCHHEIT, M.; LAURSEN, P. B. High-intensity interval training, solutions to the programming puzzle: Part I: cardiopulmonary emphasis. Sports Medicine, v. 43, n. 5, p. 313-338, 2013. DOI: https://doi.org/10.1007/s40279-013-0029-x.</w:t>
      </w:r>
    </w:p>
    <w:p>
      <w:pPr>
        <w:spacing w:after="100" w:line="260"/>
        <w:jc w:val="both"/>
      </w:pPr>
      <w:r>
        <w:rPr>
          <w:sz w:val="19"/>
          <w:szCs w:val="19"/>
        </w:rPr>
        <w:t xml:space="preserve">CASALS, M.; FERNÁNDEZ, D.; ZUMETA-OLASKOAGA, L.; SÁNCHEZ, A.; ZUCCOLOTTO, P. Reporting of generalized linear mixed models (GLMM) in sports sciences: A scoping review. Journal of Sports Analytics, v. 11, 2025. DOI: https://doi.org/10.1177/22150218251384557.</w:t>
      </w:r>
    </w:p>
    <w:p>
      <w:pPr>
        <w:spacing w:after="100" w:line="260"/>
        <w:jc w:val="both"/>
      </w:pPr>
      <w:r>
        <w:rPr>
          <w:sz w:val="19"/>
          <w:szCs w:val="19"/>
        </w:rPr>
        <w:t xml:space="preserve">CHALMERS, R. P. On misconceptions and the limited usefulness of ordinal alpha. Educational and Psychological Measurement, v. 78, n. 6, p. 1056-1071, 2018. DOI: https://doi.org/10.1177/0013164417727036.</w:t>
      </w:r>
    </w:p>
    <w:p>
      <w:pPr>
        <w:spacing w:after="100" w:line="260"/>
        <w:jc w:val="both"/>
      </w:pPr>
      <w:r>
        <w:rPr>
          <w:sz w:val="19"/>
          <w:szCs w:val="19"/>
        </w:rPr>
        <w:t xml:space="preserve">CHEN, F. F. Sensitivity of goodness of fit indexes to lack of measurement invariance. Structural Equation Modeling, v. 14, n. 3, p. 464-504, 2007.</w:t>
      </w:r>
    </w:p>
    <w:p>
      <w:pPr>
        <w:spacing w:after="100" w:line="260"/>
        <w:jc w:val="both"/>
      </w:pPr>
      <w:r>
        <w:rPr>
          <w:sz w:val="19"/>
          <w:szCs w:val="19"/>
        </w:rPr>
        <w:t xml:space="preserve">COHEN, J. Statistical power analysis for the behavioral sciences. 2. ed. [S. l.]: Erlbaum, 1988.</w:t>
      </w:r>
    </w:p>
    <w:p>
      <w:pPr>
        <w:spacing w:after="100" w:line="260"/>
        <w:jc w:val="both"/>
      </w:pPr>
      <w:r>
        <w:rPr>
          <w:sz w:val="19"/>
          <w:szCs w:val="19"/>
        </w:rPr>
        <w:t xml:space="preserve">COSTELLO, S. E. et al. Detrimental effects on executive function and mood following consecutive days of repeated high-intensity sprint interval exercise in trained male sports players. Journal of Sports Sciences, 2021.</w:t>
      </w:r>
    </w:p>
    <w:p>
      <w:pPr>
        <w:spacing w:after="100" w:line="260"/>
        <w:jc w:val="both"/>
      </w:pPr>
      <w:r>
        <w:rPr>
          <w:sz w:val="19"/>
          <w:szCs w:val="19"/>
        </w:rPr>
        <w:t xml:space="preserve">DE VET, H. C. W.; TERWEE, C. B.; OSTELO, R. W. J. G.; BECKERMAN, H.; KNOL, D. L.; BOUTER, L. M. Minimal changes in health status questionnaires: Distinction between minimally detectable change and minimally important change. Health and Quality of Life Outcomes, v. 4, p. 54, 2006.</w:t>
      </w:r>
    </w:p>
    <w:p>
      <w:pPr>
        <w:spacing w:after="100" w:line="260"/>
        <w:jc w:val="both"/>
      </w:pPr>
      <w:r>
        <w:rPr>
          <w:sz w:val="19"/>
          <w:szCs w:val="19"/>
        </w:rPr>
        <w:t xml:space="preserve">DUIGNAN, C. et al. Single-item self-report measures of team-sport athlete wellbeing and their relationship with training load: a systematic review. Journal of Athletic Training, v. 55, n. 9, p. 944-953, 2020. DOI: https://doi.org/10.4085/1062-6050-0528.19.</w:t>
      </w:r>
    </w:p>
    <w:p>
      <w:pPr>
        <w:spacing w:after="100" w:line="260"/>
        <w:jc w:val="both"/>
      </w:pPr>
      <w:r>
        <w:rPr>
          <w:sz w:val="19"/>
          <w:szCs w:val="19"/>
        </w:rPr>
        <w:t xml:space="preserve">EMBRETSON, S. E.; REISE, S. P. Item response theory for psychologists. [S. l.]: Lawrence Erlbaum Associates, 2000.</w:t>
      </w:r>
    </w:p>
    <w:p>
      <w:pPr>
        <w:spacing w:after="100" w:line="260"/>
        <w:jc w:val="both"/>
      </w:pPr>
      <w:r>
        <w:rPr>
          <w:sz w:val="19"/>
          <w:szCs w:val="19"/>
        </w:rPr>
        <w:t xml:space="preserve">FILAIRE, E. et al. Preliminary results on mood state, salivary testosterone:cortisol ratio and team performance in a professional soccer team. European Journal of Applied Physiology, v. 86, n. 2, p. 179-184, 2001. DOI: https://doi.org/10.1007/s004210100512.</w:t>
      </w:r>
    </w:p>
    <w:p>
      <w:pPr>
        <w:spacing w:after="100" w:line="260"/>
        <w:jc w:val="both"/>
      </w:pPr>
      <w:r>
        <w:rPr>
          <w:sz w:val="19"/>
          <w:szCs w:val="19"/>
        </w:rPr>
        <w:t xml:space="preserve">FLORA, D. B. Your coefficient alpha is probably wrong, but which coefficient omega is right? A tutorial on using R to obtain better reliability estimates. Advances in Methods and Practices in Psychological Science, v. 3, n. 4, p. 484-501, 2020. DOI: https://doi.org/10.1177/2515245920951747.</w:t>
      </w:r>
    </w:p>
    <w:p>
      <w:pPr>
        <w:spacing w:after="100" w:line="260"/>
        <w:jc w:val="both"/>
      </w:pPr>
      <w:r>
        <w:rPr>
          <w:sz w:val="19"/>
          <w:szCs w:val="19"/>
        </w:rPr>
        <w:t xml:space="preserve">HADDAD, M. et al. Session-RPE method for training load monitoring: validity, ecological usefulness, and influencing factors. Frontiers in Neuroscience, v. 11, p. 612, 2017. DOI: https://doi.org/10.3389/fnins.2017.00612.</w:t>
      </w:r>
    </w:p>
    <w:p>
      <w:pPr>
        <w:spacing w:after="100" w:line="260"/>
        <w:jc w:val="both"/>
      </w:pPr>
      <w:r>
        <w:rPr>
          <w:sz w:val="19"/>
          <w:szCs w:val="19"/>
        </w:rPr>
        <w:t xml:space="preserve">HALSON, S. L.; JEUKENDRUP, A. E. Does overtraining exist? Sports Medicine, v. 34, n. 14, p. 967-981, 2004.</w:t>
      </w:r>
    </w:p>
    <w:p>
      <w:pPr>
        <w:spacing w:after="100" w:line="260"/>
        <w:jc w:val="both"/>
      </w:pPr>
      <w:r>
        <w:rPr>
          <w:sz w:val="19"/>
          <w:szCs w:val="19"/>
        </w:rPr>
        <w:t xml:space="preserve">HAN, C. S. Y. et al. Psychometric properties of the Brunel Mood Scale among athletes and non-athletes in Singapore. International Journal of Sport and Exercise Psychology, 2021.</w:t>
      </w:r>
    </w:p>
    <w:p>
      <w:pPr>
        <w:spacing w:after="100" w:line="260"/>
        <w:jc w:val="both"/>
      </w:pPr>
      <w:r>
        <w:rPr>
          <w:sz w:val="19"/>
          <w:szCs w:val="19"/>
        </w:rPr>
        <w:t xml:space="preserve">HASAN, M. et al. Bangla version of the Brunel Mood Scale (BRUMS): validity, measurement invariance and normative data in a non-clinical sample. Heliyon, v. 8, 2022.</w:t>
      </w:r>
    </w:p>
    <w:p>
      <w:pPr>
        <w:spacing w:after="100" w:line="260"/>
        <w:jc w:val="both"/>
      </w:pPr>
      <w:r>
        <w:rPr>
          <w:sz w:val="19"/>
          <w:szCs w:val="19"/>
        </w:rPr>
        <w:t xml:space="preserve">HENSELER, J.; RINGLE, C. M.; SARSTEDT, M. A new criterion for assessing discriminant validity in variance-based structural equation modeling. Journal of the Academy of Marketing Science, v. 43, n. 1, p. 115-135, 2015. DOI: https://doi.org/10.1007/s11747-014-0403-8.</w:t>
      </w:r>
    </w:p>
    <w:p>
      <w:pPr>
        <w:spacing w:after="100" w:line="260"/>
        <w:jc w:val="both"/>
      </w:pPr>
      <w:r>
        <w:rPr>
          <w:sz w:val="19"/>
          <w:szCs w:val="19"/>
        </w:rPr>
        <w:t xml:space="preserve">HOPKINS, W. G. Measures of reliability in sports medicine and science. Sports Medicine, v. 30, n. 1, p. 1-15, 2000.</w:t>
      </w:r>
    </w:p>
    <w:p>
      <w:pPr>
        <w:spacing w:after="100" w:line="260"/>
        <w:jc w:val="both"/>
      </w:pPr>
      <w:r>
        <w:rPr>
          <w:sz w:val="19"/>
          <w:szCs w:val="19"/>
        </w:rPr>
        <w:t xml:space="preserve">HU, L.; BENTLER, P. M. Cutoff criteria for fit indexes in covariance structure analysis: Conventional criteria versus new alternatives. Structural Equation Modeling, v. 6, n. 1, p. 1-55, 1999. DOI: https://doi.org/10.1080/10705519909540118.</w:t>
      </w:r>
    </w:p>
    <w:p>
      <w:pPr>
        <w:spacing w:after="100" w:line="260"/>
        <w:jc w:val="both"/>
      </w:pPr>
      <w:r>
        <w:rPr>
          <w:sz w:val="19"/>
          <w:szCs w:val="19"/>
        </w:rPr>
        <w:t xml:space="preserve">IANNACCONE, A.; CONTE, D.; CORTIS, C.; FUSCO, A. Usefulness of linear mixed-effects models to assess the relationship between objective and subjective internal load in team sports. International Journal of Environmental Research and Public Health, v. 18, n. 2, p. 392, 2021. DOI: https://doi.org/10.3390/ijerph18020392.</w:t>
      </w:r>
    </w:p>
    <w:p>
      <w:pPr>
        <w:spacing w:after="100" w:line="260"/>
        <w:jc w:val="both"/>
      </w:pPr>
      <w:r>
        <w:rPr>
          <w:sz w:val="19"/>
          <w:szCs w:val="19"/>
        </w:rPr>
        <w:t xml:space="preserve">ISSURIN, V. B. New horizons for the methodology and physiology of training periodization. Sports Medicine, v. 40, n. 3, p. 189-206, 2010. DOI: https://doi.org/10.2165/11319770-000000000-00000.</w:t>
      </w:r>
    </w:p>
    <w:p>
      <w:pPr>
        <w:spacing w:after="100" w:line="260"/>
        <w:jc w:val="both"/>
      </w:pPr>
      <w:r>
        <w:rPr>
          <w:sz w:val="19"/>
          <w:szCs w:val="19"/>
        </w:rPr>
        <w:t xml:space="preserve">JACOBSON, N. S.; TRUAX, P. Clinical significance: A statistical approach to defining meaningful change in psychotherapy research. Journal of Consulting and Clinical Psychology, v. 59, n. 1, p. 12-19, 1991.</w:t>
      </w:r>
    </w:p>
    <w:p>
      <w:pPr>
        <w:spacing w:after="100" w:line="260"/>
        <w:jc w:val="both"/>
      </w:pPr>
      <w:r>
        <w:rPr>
          <w:sz w:val="19"/>
          <w:szCs w:val="19"/>
        </w:rPr>
        <w:t xml:space="preserve">KARCHER, C.; BUCHHEIT, M. On-court demands of elite handball, with special reference to playing positions. Sports Medicine, v. 44, n. 6, p. 797-814, 2014. DOI: https://doi.org/10.1007/s40279-014-0164-z.</w:t>
      </w:r>
    </w:p>
    <w:p>
      <w:pPr>
        <w:spacing w:after="100" w:line="260"/>
        <w:jc w:val="both"/>
      </w:pPr>
      <w:r>
        <w:rPr>
          <w:sz w:val="19"/>
          <w:szCs w:val="19"/>
        </w:rPr>
        <w:t xml:space="preserve">KOO, T. K.; LI, M. Y. A guideline of selecting and reporting intraclass correlation coefficients for reliability research. Journal of Chiropractic Medicine, v. 15, n. 2, p. 155-163, 2016.</w:t>
      </w:r>
    </w:p>
    <w:p>
      <w:pPr>
        <w:spacing w:after="100" w:line="260"/>
        <w:jc w:val="both"/>
      </w:pPr>
      <w:r>
        <w:rPr>
          <w:sz w:val="19"/>
          <w:szCs w:val="19"/>
        </w:rPr>
        <w:t xml:space="preserve">KRUSCHKE, J. K. Rejecting or accepting parameter values in Bayesian estimation. Advances in Methods and Practices in Psychological Science, v. 1, n. 2, p. 270-280, 2018.</w:t>
      </w:r>
    </w:p>
    <w:p>
      <w:pPr>
        <w:spacing w:after="100" w:line="260"/>
        <w:jc w:val="both"/>
      </w:pPr>
      <w:r>
        <w:rPr>
          <w:sz w:val="19"/>
          <w:szCs w:val="19"/>
        </w:rPr>
        <w:t xml:space="preserve">KVĚTON, P. et al. Czech adaptation of the Brunel Mood States for adolescent athletes. [S. l.: s. n.], 2020.</w:t>
      </w:r>
    </w:p>
    <w:p>
      <w:pPr>
        <w:spacing w:after="100" w:line="260"/>
        <w:jc w:val="both"/>
      </w:pPr>
      <w:r>
        <w:rPr>
          <w:sz w:val="19"/>
          <w:szCs w:val="19"/>
        </w:rPr>
        <w:t xml:space="preserve">LAN, M. F. et al. Validity of the Brunel Mood Scale for use with Malaysian athletes. Journal of Sports Science &amp; Medicine, v. 11, n. 1, p. 131-135, 2012.</w:t>
      </w:r>
    </w:p>
    <w:p>
      <w:pPr>
        <w:spacing w:after="100" w:line="260"/>
        <w:jc w:val="both"/>
      </w:pPr>
      <w:r>
        <w:rPr>
          <w:sz w:val="19"/>
          <w:szCs w:val="19"/>
        </w:rPr>
        <w:t xml:space="preserve">LEW, P. C. F. et al. Cross-cultural validation of the Malaysian Mood Scale and tests of between-group mood differences. International Journal of Environmental Research and Public Health, v. 20, 2023.</w:t>
      </w:r>
    </w:p>
    <w:p>
      <w:pPr>
        <w:spacing w:after="100" w:line="260"/>
        <w:jc w:val="both"/>
      </w:pPr>
      <w:r>
        <w:rPr>
          <w:sz w:val="19"/>
          <w:szCs w:val="19"/>
        </w:rPr>
        <w:t xml:space="preserve">LI, C.-H. Confirmatory factor analysis with ordinal data: Comparing robust maximum likelihood and diagonally weighted least squares. Behavior Research Methods, v. 48, n. 3, p. 936-949, 2016. DOI: https://doi.org/10.3758/s13428-015-0619-7.</w:t>
      </w:r>
    </w:p>
    <w:p>
      <w:pPr>
        <w:spacing w:after="100" w:line="260"/>
        <w:jc w:val="both"/>
      </w:pPr>
      <w:r>
        <w:rPr>
          <w:sz w:val="19"/>
          <w:szCs w:val="19"/>
        </w:rPr>
        <w:t xml:space="preserve">LITTLE, R. J. A.; RUBIN, D. B. Statistical analysis with missing data. 3. ed. [S. l.]: Wiley, 2019.</w:t>
      </w:r>
    </w:p>
    <w:p>
      <w:pPr>
        <w:spacing w:after="100" w:line="260"/>
        <w:jc w:val="both"/>
      </w:pPr>
      <w:r>
        <w:rPr>
          <w:sz w:val="19"/>
          <w:szCs w:val="19"/>
        </w:rPr>
        <w:t xml:space="preserve">MARQUES, M. et al. Positive affective and enjoyment responses to four high-intensity interval exercise protocols. Perceptual and Motor Skills, v. 127, n. 4, p. 742-765, 2020. DOI: https://doi.org/10.1177/0031512520918748.</w:t>
      </w:r>
    </w:p>
    <w:p>
      <w:pPr>
        <w:spacing w:after="100" w:line="260"/>
        <w:jc w:val="both"/>
      </w:pPr>
      <w:r>
        <w:rPr>
          <w:sz w:val="19"/>
          <w:szCs w:val="19"/>
        </w:rPr>
        <w:t xml:space="preserve">MARTÍNEZ-DÍAZ, I. C. et al. Neurophysiological stress response and mood changes induced by high-intensity interval training: a pilot study. International Journal of Environmental Research and Public Health, v. 18, 2021.</w:t>
      </w:r>
    </w:p>
    <w:p>
      <w:pPr>
        <w:spacing w:after="100" w:line="260"/>
        <w:jc w:val="both"/>
      </w:pPr>
      <w:r>
        <w:rPr>
          <w:sz w:val="19"/>
          <w:szCs w:val="19"/>
        </w:rPr>
        <w:t xml:space="preserve">MCHORNEY, C. A.; TARLOV, A. R. Individual-patient monitoring in clinical practice: Are available health status surveys adequate? Quality of Life Research, v. 4, n. 4, p. 293-307, 1995.</w:t>
      </w:r>
    </w:p>
    <w:p>
      <w:pPr>
        <w:spacing w:after="100" w:line="260"/>
        <w:jc w:val="both"/>
      </w:pPr>
      <w:r>
        <w:rPr>
          <w:sz w:val="19"/>
          <w:szCs w:val="19"/>
        </w:rPr>
        <w:t xml:space="preserve">MCNAIR, D. M.; LORR, M.; DROPPLEMAN, L. F. Manual for the Profile of Mood States. [S. l.]: Educational and Industrial Testing Service, 1971.</w:t>
      </w:r>
    </w:p>
    <w:p>
      <w:pPr>
        <w:spacing w:after="100" w:line="260"/>
        <w:jc w:val="both"/>
      </w:pPr>
      <w:r>
        <w:rPr>
          <w:sz w:val="19"/>
          <w:szCs w:val="19"/>
        </w:rPr>
        <w:t xml:space="preserve">MEADE, A. W.; LAUTENSCHLAGER, G. J. A comparison of item response theory and confirmatory factor analytic methodologies for establishing measurement equivalence/invariance. Organizational Research Methods, v. 7, n. 4, p. 361-388, 2004.</w:t>
      </w:r>
    </w:p>
    <w:p>
      <w:pPr>
        <w:spacing w:after="100" w:line="260"/>
        <w:jc w:val="both"/>
      </w:pPr>
      <w:r>
        <w:rPr>
          <w:sz w:val="19"/>
          <w:szCs w:val="19"/>
        </w:rPr>
        <w:t xml:space="preserve">MEEUSEN, R.; DUCLOS, M.; FOSTER, C.; FRY, A.; GLEESON, M.; NIEMAN, D.; RAGLIN, J.; RIETJENS, G.; STEINACKER, J.; URHAUSEN, A. Prevention, diagnosis, and treatment of the overtraining syndrome: Joint consensus statement of the ECSS and ACSM. Medicine &amp; Science in Sports &amp; Exercise, v. 45, n. 1, p. 186-205, 2013.</w:t>
      </w:r>
    </w:p>
    <w:p>
      <w:pPr>
        <w:spacing w:after="100" w:line="260"/>
        <w:jc w:val="both"/>
      </w:pPr>
      <w:r>
        <w:rPr>
          <w:sz w:val="19"/>
          <w:szCs w:val="19"/>
        </w:rPr>
        <w:t xml:space="preserve">MORGAN, W. P. Selected psychological factors limiting performance: a mental health model. In: CLARKE, D. H.; ECKERT, H. M. (ed.). Limits of human performance. [S. l.]: Human Kinetics, 1985. p. 70-80.</w:t>
      </w:r>
    </w:p>
    <w:p>
      <w:pPr>
        <w:spacing w:after="100" w:line="260"/>
        <w:jc w:val="both"/>
      </w:pPr>
      <w:r>
        <w:rPr>
          <w:sz w:val="19"/>
          <w:szCs w:val="19"/>
        </w:rPr>
        <w:t xml:space="preserve">NAKAGAWA, S.; SCHIELZETH, H. A general and simple method for obtaining R² from generalized linear mixed-effects models. Methods in Ecology and Evolution, v. 4, n. 2, p. 133-142, 2013.</w:t>
      </w:r>
    </w:p>
    <w:p>
      <w:pPr>
        <w:spacing w:after="100" w:line="260"/>
        <w:jc w:val="both"/>
      </w:pPr>
      <w:r>
        <w:rPr>
          <w:sz w:val="19"/>
          <w:szCs w:val="19"/>
        </w:rPr>
        <w:t xml:space="preserve">PARSONS-SMITH, R. L.; TERRY, P. C.; MACHIN, M. A. Identification and description of novel mood profile clusters. Frontiers in Psychology, v. 8, p. 1958, 2017.</w:t>
      </w:r>
    </w:p>
    <w:p>
      <w:pPr>
        <w:spacing w:after="100" w:line="260"/>
        <w:jc w:val="both"/>
      </w:pPr>
      <w:r>
        <w:rPr>
          <w:sz w:val="19"/>
          <w:szCs w:val="19"/>
        </w:rPr>
        <w:t xml:space="preserve">PATTEN, R. K. et al. Longitudinal affective response to high-intensity interval training and moderate-intensity continuous training in overweight women with polycystic ovary syndrome: a randomised trial. Psychology of Sport and Exercise, v. 64, p. 102325, 2022. DOI: https://doi.org/10.1016/j.psychsport.2022.102325.</w:t>
      </w:r>
    </w:p>
    <w:p>
      <w:pPr>
        <w:spacing w:after="100" w:line="260"/>
        <w:jc w:val="both"/>
      </w:pPr>
      <w:r>
        <w:rPr>
          <w:sz w:val="19"/>
          <w:szCs w:val="19"/>
        </w:rPr>
        <w:t xml:space="preserve">PUTNICK, D. L.; BORNSTEIN, M. H. Measurement invariance conventions and reporting: The state of the art and future directions for psychological research. Developmental Review, v. 41, p. 71-90, 2016. DOI: https://doi.org/10.1016/j.dr.2016.06.004.</w:t>
      </w:r>
    </w:p>
    <w:p>
      <w:pPr>
        <w:spacing w:after="100" w:line="260"/>
        <w:jc w:val="both"/>
      </w:pPr>
      <w:r>
        <w:rPr>
          <w:sz w:val="19"/>
          <w:szCs w:val="19"/>
        </w:rPr>
        <w:t xml:space="preserve">PÓVOAS, S. C. A. et al. Physical and physiological demands of elite team handball. Journal of Strength and Conditioning Research, v. 26, n. 12, p. 3365-3375, 2012.</w:t>
      </w:r>
    </w:p>
    <w:p>
      <w:pPr>
        <w:spacing w:after="100" w:line="260"/>
        <w:jc w:val="both"/>
      </w:pPr>
      <w:r>
        <w:rPr>
          <w:sz w:val="19"/>
          <w:szCs w:val="19"/>
        </w:rPr>
        <w:t xml:space="preserve">RHEMTULLA, M.; BROSSEAU-LIARD, P. É.; SAVALEI, V. When can categorical variables be treated as continuous? A comparison of robust continuous and categorical SEM estimation methods under suboptimal conditions. Psychological Methods, v. 17, n. 3, p. 354-373, 2012. DOI: https://doi.org/10.1037/a0029315.</w:t>
      </w:r>
    </w:p>
    <w:p>
      <w:pPr>
        <w:spacing w:after="100" w:line="260"/>
        <w:jc w:val="both"/>
      </w:pPr>
      <w:r>
        <w:rPr>
          <w:sz w:val="19"/>
          <w:szCs w:val="19"/>
        </w:rPr>
        <w:t xml:space="preserve">ROEMER, E.; SCHUBERTH, F.; HENSELER, J. HTMT2—an improved criterion for assessing discriminant validity in structural equation modeling. Industrial Management &amp; Data Systems, v. 121, n. 12, p. 2637-2650, 2021. DOI: https://doi.org/10.1108/IMDS-02-2021-0082.</w:t>
      </w:r>
    </w:p>
    <w:p>
      <w:pPr>
        <w:spacing w:after="100" w:line="260"/>
        <w:jc w:val="both"/>
      </w:pPr>
      <w:r>
        <w:rPr>
          <w:sz w:val="19"/>
          <w:szCs w:val="19"/>
        </w:rPr>
        <w:t xml:space="preserve">ROHLFS, I. C. P. M. et al. A Escala de Humor de Brunel (BRUMS). Revista Brasileira de Medicina do Esporte, v. 10, n. 6, p. 496-504, 2004.</w:t>
      </w:r>
    </w:p>
    <w:p>
      <w:pPr>
        <w:spacing w:after="100" w:line="260"/>
        <w:jc w:val="both"/>
      </w:pPr>
      <w:r>
        <w:rPr>
          <w:sz w:val="19"/>
          <w:szCs w:val="19"/>
        </w:rPr>
        <w:t xml:space="preserve">ROUDER, J. N.; SPECKMAN, P. L.; SUN, D.; MOREY, R. D.; IVERSON, G. Bayesian t tests for accepting and rejecting the null hypothesis. Psychonomic Bulletin &amp; Review, v. 16, n. 2, p. 225-237, 2009.</w:t>
      </w:r>
    </w:p>
    <w:p>
      <w:pPr>
        <w:spacing w:after="100" w:line="260"/>
        <w:jc w:val="both"/>
      </w:pPr>
      <w:r>
        <w:rPr>
          <w:sz w:val="19"/>
          <w:szCs w:val="19"/>
        </w:rPr>
        <w:t xml:space="preserve">SAMEJIMA, F. Estimation of latent ability using a response pattern of graded scores. Psychometrika Monograph Supplement, v. 34, n. 4, pt. 2, 1969.</w:t>
      </w:r>
    </w:p>
    <w:p>
      <w:pPr>
        <w:spacing w:after="100" w:line="260"/>
        <w:jc w:val="both"/>
      </w:pPr>
      <w:r>
        <w:rPr>
          <w:sz w:val="19"/>
          <w:szCs w:val="19"/>
        </w:rPr>
        <w:t xml:space="preserve">SANT’ANA, L. et al. Load and psychophysiological responses in high-intensity interval training with fixed and self-selected recovery. Retos, 2025.</w:t>
      </w:r>
    </w:p>
    <w:p>
      <w:pPr>
        <w:spacing w:after="100" w:line="260"/>
        <w:jc w:val="both"/>
      </w:pPr>
      <w:r>
        <w:rPr>
          <w:sz w:val="19"/>
          <w:szCs w:val="19"/>
        </w:rPr>
        <w:t xml:space="preserve">SAW, A. E.; MAIN, L. C.; GASTIN, P. B. Monitoring the athlete training response: subjective self-reported measures trump commonly used objective measures. British Journal of Sports Medicine, v. 50, n. 5, p. 281-291, 2016.</w:t>
      </w:r>
    </w:p>
    <w:p>
      <w:pPr>
        <w:spacing w:after="100" w:line="260"/>
        <w:jc w:val="both"/>
      </w:pPr>
      <w:r>
        <w:rPr>
          <w:sz w:val="19"/>
          <w:szCs w:val="19"/>
        </w:rPr>
        <w:t xml:space="preserve">SAW, A. E.; MAIN, L. C.; GASTIN, P. B. Monitoring the athlete training response: subjective self-reported measures trump commonly used objective measures: a systematic review. British Journal of Sports Medicine, v. 50, n. 5, p. 281-291, 2016. DOI: https://doi.org/10.1136/bjsports-2015-094758.</w:t>
      </w:r>
    </w:p>
    <w:p>
      <w:pPr>
        <w:spacing w:after="100" w:line="260"/>
        <w:jc w:val="both"/>
      </w:pPr>
      <w:r>
        <w:rPr>
          <w:sz w:val="19"/>
          <w:szCs w:val="19"/>
        </w:rPr>
        <w:t xml:space="preserve">SELMI, O.; BEN KHALIFA, W.; ZOUAOUI, M.; AZAIEZ, F.; BOUASSIDA, A. High intensity interval training negatively affects mood state in professional athletes. Science &amp; Sports, v. 33, n. 4, p. e151-e157, 2018a. DOI: https://doi.org/10.1016/j.scispo.2018.01.008.</w:t>
      </w:r>
    </w:p>
    <w:p>
      <w:pPr>
        <w:spacing w:after="100" w:line="260"/>
        <w:jc w:val="both"/>
      </w:pPr>
      <w:r>
        <w:rPr>
          <w:sz w:val="19"/>
          <w:szCs w:val="19"/>
        </w:rPr>
        <w:t xml:space="preserve">SELMI, O.; HADDAD, M.; MAJED, L.; BEN KHALIFA, W.; HAMZA, M.; CHAMARI, K. Soccer training: high-intensity interval training is mood disturbing while small sided games ensure mood balance. Journal of Sports Medicine and Physical Fitness, v. 58, n. 7-8, p. 1163-1170, 2018b. DOI: https://doi.org/10.23736/S0022-4707.17.07292-9.</w:t>
      </w:r>
    </w:p>
    <w:p>
      <w:pPr>
        <w:spacing w:after="100" w:line="260"/>
        <w:jc w:val="both"/>
      </w:pPr>
      <w:r>
        <w:rPr>
          <w:sz w:val="19"/>
          <w:szCs w:val="19"/>
        </w:rPr>
        <w:t xml:space="preserve">SOYLU, Y. et al. Psychometric properties of the Brunel Mood Scale in Turkish adults and adolescent athletes. SPORMETRE, 2022.</w:t>
      </w:r>
    </w:p>
    <w:p>
      <w:pPr>
        <w:spacing w:after="100" w:line="260"/>
        <w:jc w:val="both"/>
      </w:pPr>
      <w:r>
        <w:rPr>
          <w:sz w:val="19"/>
          <w:szCs w:val="19"/>
        </w:rPr>
        <w:t xml:space="preserve">STÖGGL, T. et al. The Salzburg 10/7 HIIT shock cycle study. BMC Sports Science, Medicine and Rehabilitation, 2022.</w:t>
      </w:r>
    </w:p>
    <w:p>
      <w:pPr>
        <w:spacing w:after="100" w:line="260"/>
        <w:jc w:val="both"/>
      </w:pPr>
      <w:r>
        <w:rPr>
          <w:sz w:val="19"/>
          <w:szCs w:val="19"/>
        </w:rPr>
        <w:t xml:space="preserve">TAY, L.; MEADE, A. W.; CAO, M. An overview and practical guide to IRT measurement equivalence analysis. Organizational Research Methods, v. 18, n. 1, p. 3-46, 2015.</w:t>
      </w:r>
    </w:p>
    <w:p>
      <w:pPr>
        <w:spacing w:after="100" w:line="260"/>
        <w:jc w:val="both"/>
      </w:pPr>
      <w:r>
        <w:rPr>
          <w:sz w:val="19"/>
          <w:szCs w:val="19"/>
        </w:rPr>
        <w:t xml:space="preserve">TERRY, P. C. et al. Validation of a Lithuanian-language version of the Brunel Mood Scale: the BRUMS-LTU. International Journal of Environmental Research and Public Health, v. 19, n. 8, art. 4867, 2022. DOI: https://doi.org/10.3390/ijerph19084867.</w:t>
      </w:r>
    </w:p>
    <w:p>
      <w:pPr>
        <w:spacing w:after="100" w:line="260"/>
        <w:jc w:val="both"/>
      </w:pPr>
      <w:r>
        <w:rPr>
          <w:sz w:val="19"/>
          <w:szCs w:val="19"/>
        </w:rPr>
        <w:t xml:space="preserve">TERRY, P. C.; LANE, A. M. Normative values for the Profile of Mood States for use with athletic samples. Journal of Applied Sport Psychology, v. 12, n. 1, p. 93-109, 2000.</w:t>
      </w:r>
    </w:p>
    <w:p>
      <w:pPr>
        <w:spacing w:after="100" w:line="260"/>
        <w:jc w:val="both"/>
      </w:pPr>
      <w:r>
        <w:rPr>
          <w:sz w:val="19"/>
          <w:szCs w:val="19"/>
        </w:rPr>
        <w:t xml:space="preserve">TERRY, P. C.; LANE, A. M.; FOGARTY, G. J. Construct validity of the POMS-A. Psychology of Sport and Exercise, v. 4, n. 2, p. 125-139, 2003.</w:t>
      </w:r>
    </w:p>
    <w:p>
      <w:pPr>
        <w:spacing w:after="100" w:line="260"/>
        <w:jc w:val="both"/>
      </w:pPr>
      <w:r>
        <w:rPr>
          <w:sz w:val="19"/>
          <w:szCs w:val="19"/>
        </w:rPr>
        <w:t xml:space="preserve">TERRY, P. C.; LANE, A. M.; LANE, H. J.; KEOHANE, L. Development and validation of a mood measure for adolescents. Journal of Sports Sciences, v. 17, n. 11, p. 861-872, 1999.</w:t>
      </w:r>
    </w:p>
    <w:p>
      <w:pPr>
        <w:spacing w:after="100" w:line="260"/>
        <w:jc w:val="both"/>
      </w:pPr>
      <w:r>
        <w:rPr>
          <w:sz w:val="19"/>
          <w:szCs w:val="19"/>
        </w:rPr>
        <w:t xml:space="preserve">TERWEE, C. B.; BOT, S. D. M.; DE BOER, M. R.; VAN DER WINDT, D. A. W. M.; KNOL, D. L.; DEKKER, J.; BOUTER, L. M.; DE VET, H. C. W. Quality criteria were proposed for measurement properties of health status questionnaires. Journal of Clinical Epidemiology, v. 60, n. 1, p. 34-42, 2007.</w:t>
      </w:r>
    </w:p>
    <w:p>
      <w:pPr>
        <w:spacing w:after="100" w:line="260"/>
        <w:jc w:val="both"/>
      </w:pPr>
      <w:r>
        <w:rPr>
          <w:sz w:val="19"/>
          <w:szCs w:val="19"/>
        </w:rPr>
        <w:t xml:space="preserve">THORPE, R. T. et al. Monitoring fatigue status in elite team-sport athletes. International Journal of Sports Physiology and Performance, v. 12, n. s2, p. S2-27-S2-34, 2017.</w:t>
      </w:r>
    </w:p>
    <w:p>
      <w:pPr>
        <w:spacing w:after="100" w:line="260"/>
        <w:jc w:val="both"/>
      </w:pPr>
      <w:r>
        <w:rPr>
          <w:sz w:val="19"/>
          <w:szCs w:val="19"/>
        </w:rPr>
        <w:t xml:space="preserve">VLACHOPOULOS, S. P. et al. A Greek translation of the Brunel Mood Scale: initial validation among exercise participants and inactive adults. Sports, v. 11, 2023.</w:t>
      </w:r>
    </w:p>
    <w:p>
      <w:pPr>
        <w:spacing w:after="100" w:line="260"/>
        <w:jc w:val="both"/>
      </w:pPr>
      <w:r>
        <w:rPr>
          <w:sz w:val="19"/>
          <w:szCs w:val="19"/>
        </w:rPr>
        <w:t xml:space="preserve">VLACHOPOULOS, S. P.; LANE, A. M.; TERRY, P. C. A Greek translation of the Brunel Mood Scale: initial validation among exercise participants and inactive adults. Sports, v. 11, n. 12, art. 234, 2023. DOI: https://doi.org/10.3390/sports11120234.</w:t>
      </w:r>
    </w:p>
    <w:p>
      <w:pPr>
        <w:spacing w:after="100" w:line="260"/>
        <w:jc w:val="both"/>
      </w:pPr>
      <w:r>
        <w:rPr>
          <w:sz w:val="19"/>
          <w:szCs w:val="19"/>
        </w:rPr>
        <w:t xml:space="preserve">WIEWELHOVE, T.; RAEDER, C.; MEYER, T.; KELLMANN, M.; PFEIFFER, M.; FERRAUTI, A. Markers for routine assessment of fatigue and recovery in male and female team sport athletes during high-intensity interval training. PLoS ONE, v. 10, n. 10, p. e0139801, 2015. DOI: https://doi.org/10.1371/journal.pone.0139801.</w:t>
      </w:r>
    </w:p>
    <w:p>
      <w:pPr>
        <w:spacing w:after="100" w:line="260"/>
        <w:jc w:val="both"/>
      </w:pPr>
      <w:r>
        <w:rPr>
          <w:sz w:val="19"/>
          <w:szCs w:val="19"/>
        </w:rPr>
        <w:t xml:space="preserve">WINDT, J.; GABBETT, T. J. How do training and competition workloads relate to injury? The workload-injury aetiology model. British Journal of Sports Medicine, v. 51, n. 5, p. 428-435, 2016. DOI: https://doi.org/10.1136/bjsports-2016-096040.</w:t>
      </w:r>
    </w:p>
    <w:p>
      <w:pPr>
        <w:spacing w:after="100" w:line="260"/>
        <w:jc w:val="both"/>
      </w:pPr>
      <w:r>
        <w:rPr>
          <w:sz w:val="19"/>
          <w:szCs w:val="19"/>
        </w:rPr>
        <w:t xml:space="preserve">WU, H.; ESTABROOK, R. Identification of confirmatory factor analysis models of different levels of invariance for ordered categorical outcomes. Psychometrika, v. 81, n. 4, p. 1014-1045, 2016. DOI: https://doi.org/10.1007/s11336-016-9506-0.</w:t>
      </w:r>
    </w:p>
    <w:p>
      <w:pPr>
        <w:spacing w:after="100" w:line="260"/>
        <w:jc w:val="both"/>
      </w:pPr>
      <w:r>
        <w:rPr>
          <w:sz w:val="19"/>
          <w:szCs w:val="19"/>
        </w:rPr>
        <w:t xml:space="preserve">YACOUBI, A. et al. Validation of the Arabic version of the Brunel Mood Scale (BRUMS-AR) for use with football players in Ramadan. International Journal of Sport Studies for Health, 2025.</w:t>
      </w:r>
    </w:p>
    <w:p>
      <w:pPr>
        <w:spacing w:after="100" w:line="260"/>
        <w:jc w:val="both"/>
      </w:pPr>
      <w:r>
        <w:rPr>
          <w:sz w:val="19"/>
          <w:szCs w:val="19"/>
        </w:rPr>
        <w:t xml:space="preserve">ZHANG, C.-Q. et al. Psychometric properties of the Brunel Mood Scale in Chinese adolescents and adults. Journal of Sports Sciences, v. 32, n. 15, p. 1465-1476, 2014. DOI: https://doi.org/10.1080/02640414.2014.898184.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7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122438"/>
      <w:sz w:val="32"/>
      <w:szCs w:val="32"/>
    </w:rPr>
  </w:style>
  <w:style w:type="paragraph" w:styleId="Heading2">
    <w:name w:val="Heading 2"/>
    <w:basedOn w:val="Normal"/>
    <w:next w:val="Normal"/>
    <w:qFormat/>
    <w:pPr>
      <w:spacing w:after="100" w:before="240"/>
      <w:outlineLvl w:val="1"/>
    </w:pPr>
    <w:rPr>
      <w:rFonts w:ascii="Cambria" w:cs="Cambria" w:eastAsia="Cambria" w:hAnsi="Cambria"/>
      <w:b/>
      <w:bCs/>
      <w:color w:val="245C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11f5a92c9f0b12ad565bed8a6e71e0e70ab1b3.png"/><Relationship Id="rId8" Type="http://schemas.openxmlformats.org/officeDocument/2006/relationships/image" Target="media/f152e9ce69965e8a698c3566ef24cd5c3371d61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Manuscrito completo — BRUMS × HIIT no handebol</dc:title>
  <dc:creator>Auditoria BRUMS × HIIT</dc:creator>
  <cp:lastModifiedBy>Un-named</cp:lastModifiedBy>
  <cp:revision>1</cp:revision>
  <dcterms:created xsi:type="dcterms:W3CDTF">2026-08-02T19:02:02.955Z</dcterms:created>
  <dcterms:modified xsi:type="dcterms:W3CDTF">2026-08-02T19:02:02.969Z</dcterms:modified>
</cp:coreProperties>
</file>

<file path=docProps/custom.xml><?xml version="1.0" encoding="utf-8"?>
<Properties xmlns="http://schemas.openxmlformats.org/officeDocument/2006/custom-properties" xmlns:vt="http://schemas.openxmlformats.org/officeDocument/2006/docPropsVTypes"/>
</file>