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160"/>
        <w:jc w:val="both"/>
      </w:pPr>
      <w:r>
        <w:rPr>
          <w:rFonts w:ascii="Palatino Linotype" w:hAnsi="Palatino Linotype"/>
          <w:b w:val="0"/>
          <w:i/>
          <w:color w:val="666666"/>
          <w:sz w:val="16"/>
        </w:rPr>
        <w:t>Citation: [Autores]. [Título]. Sports 2026, [vol], [artigo]. Received: [data]; Accepted: [data]; Published: [data]. © 2026 pelos autores. Licenciado sob CC BY 4.0.</w:t>
      </w:r>
    </w:p>
    <w:p>
      <w:pPr>
        <w:spacing w:after="80"/>
      </w:pPr>
      <w:r>
        <w:rPr>
          <w:rFonts w:ascii="Palatino Linotype" w:hAnsi="Palatino Linotype"/>
          <w:b/>
          <w:i/>
          <w:sz w:val="30"/>
        </w:rPr>
        <w:t>Sports</w:t>
      </w:r>
      <w:r>
        <w:rPr>
          <w:rFonts w:ascii="Palatino Linotype" w:hAnsi="Palatino Linotype"/>
          <w:b/>
          <w:sz w:val="22"/>
        </w:rPr>
        <w:t xml:space="preserve">    Article</w:t>
      </w:r>
    </w:p>
    <w:p>
      <w:pPr>
        <w:spacing w:after="120"/>
      </w:pPr>
      <w:r>
        <w:rPr>
          <w:rFonts w:ascii="Palatino Linotype" w:hAnsi="Palatino Linotype"/>
          <w:b/>
          <w:sz w:val="32"/>
        </w:rPr>
        <w:t>Dinâmica do Humor em um Microciclo Pré-Competitivo de Handebol de Elite: Perfis de Humor e o Eixo Energia–Fadiga</w:t>
      </w:r>
    </w:p>
    <w:p>
      <w:pPr>
        <w:spacing w:after="80"/>
      </w:pPr>
      <w:r>
        <w:rPr>
          <w:rFonts w:ascii="Palatino Linotype" w:hAnsi="Palatino Linotype"/>
          <w:sz w:val="22"/>
        </w:rPr>
        <w:t xml:space="preserve">[Autor 1] </w:t>
      </w:r>
      <w:r>
        <w:rPr>
          <w:rFonts w:ascii="Palatino Linotype" w:hAnsi="Palatino Linotype"/>
          <w:sz w:val="22"/>
          <w:vertAlign w:val="superscript"/>
        </w:rPr>
        <w:t>1,*</w:t>
      </w:r>
      <w:r>
        <w:rPr>
          <w:rFonts w:ascii="Palatino Linotype" w:hAnsi="Palatino Linotype"/>
          <w:sz w:val="22"/>
        </w:rPr>
        <w:t xml:space="preserve">, [Autor 2] </w:t>
      </w:r>
      <w:r>
        <w:rPr>
          <w:rFonts w:ascii="Palatino Linotype" w:hAnsi="Palatino Linotype"/>
          <w:sz w:val="22"/>
          <w:vertAlign w:val="superscript"/>
        </w:rPr>
        <w:t>2</w:t>
      </w:r>
      <w:r>
        <w:rPr>
          <w:rFonts w:ascii="Palatino Linotype" w:hAnsi="Palatino Linotype"/>
          <w:sz w:val="22"/>
        </w:rPr>
        <w:t xml:space="preserve">, [Autor 3] </w:t>
      </w:r>
      <w:r>
        <w:rPr>
          <w:rFonts w:ascii="Palatino Linotype" w:hAnsi="Palatino Linotype"/>
          <w:sz w:val="22"/>
          <w:vertAlign w:val="superscript"/>
        </w:rPr>
        <w:t>3</w:t>
      </w:r>
    </w:p>
    <w:p>
      <w:pPr>
        <w:spacing w:after="0"/>
      </w:pPr>
      <w:r>
        <w:rPr>
          <w:rFonts w:ascii="Palatino Linotype" w:hAnsi="Palatino Linotype"/>
          <w:sz w:val="16"/>
          <w:vertAlign w:val="superscript"/>
        </w:rPr>
        <w:t>1</w:t>
      </w:r>
      <w:r>
        <w:rPr>
          <w:rFonts w:ascii="Palatino Linotype" w:hAnsi="Palatino Linotype"/>
          <w:sz w:val="16"/>
        </w:rPr>
        <w:t xml:space="preserve"> [Afiliação 1: departamento, instituição, cidade, país; e-mail]</w:t>
      </w:r>
    </w:p>
    <w:p>
      <w:pPr>
        <w:spacing w:after="0"/>
      </w:pPr>
      <w:r>
        <w:rPr>
          <w:rFonts w:ascii="Palatino Linotype" w:hAnsi="Palatino Linotype"/>
          <w:sz w:val="16"/>
          <w:vertAlign w:val="superscript"/>
        </w:rPr>
        <w:t>2</w:t>
      </w:r>
      <w:r>
        <w:rPr>
          <w:rFonts w:ascii="Palatino Linotype" w:hAnsi="Palatino Linotype"/>
          <w:sz w:val="16"/>
        </w:rPr>
        <w:t xml:space="preserve"> [Afiliação 2: departamento, instituição, cidade, país; e-mail]</w:t>
      </w:r>
    </w:p>
    <w:p>
      <w:pPr>
        <w:spacing w:after="0"/>
      </w:pPr>
      <w:r>
        <w:rPr>
          <w:rFonts w:ascii="Palatino Linotype" w:hAnsi="Palatino Linotype"/>
          <w:sz w:val="16"/>
          <w:vertAlign w:val="superscript"/>
        </w:rPr>
        <w:t>3</w:t>
      </w:r>
      <w:r>
        <w:rPr>
          <w:rFonts w:ascii="Palatino Linotype" w:hAnsi="Palatino Linotype"/>
          <w:sz w:val="16"/>
        </w:rPr>
        <w:t xml:space="preserve"> [Afiliação 3: departamento, instituição, cidade, país; e-mail]</w:t>
      </w:r>
    </w:p>
    <w:p>
      <w:pPr>
        <w:spacing w:after="160"/>
      </w:pPr>
      <w:r>
        <w:rPr>
          <w:rFonts w:ascii="Palatino Linotype" w:hAnsi="Palatino Linotype"/>
          <w:sz w:val="16"/>
        </w:rPr>
        <w:t>*</w:t>
      </w:r>
      <w:r>
        <w:rPr>
          <w:rFonts w:ascii="Palatino Linotype" w:hAnsi="Palatino Linotype"/>
          <w:sz w:val="16"/>
        </w:rPr>
        <w:t xml:space="preserve"> Correspondência: [e-mail do autor correspondente]</w:t>
      </w:r>
    </w:p>
    <w:p>
      <w:pPr>
        <w:spacing w:line="276" w:lineRule="auto" w:after="80"/>
        <w:ind w:firstLine="283"/>
        <w:jc w:val="both"/>
      </w:pPr>
      <w:r>
        <w:rPr>
          <w:rFonts w:ascii="Palatino Linotype" w:hAnsi="Palatino Linotype"/>
          <w:b/>
          <w:sz w:val="20"/>
        </w:rPr>
        <w:t xml:space="preserve">Resumo: </w:t>
      </w:r>
      <w:r>
        <w:rPr>
          <w:rFonts w:ascii="Palatino Linotype" w:hAnsi="Palatino Linotype"/>
          <w:b w:val="0"/>
          <w:sz w:val="20"/>
        </w:rPr>
        <w:t>Objetivo: descrever e caracterizar a dinâmica do humor de atletas de handebol de elite ao longo de um microciclo pré-competitivo, com ênfase no eixo energia–fadiga, no comportamento dos seis perfis de humor, na resposta aguda pré e pós-treino e na forma temporal das trajetórias. Método: 27 atletas do sexo masculino responderam à Escala de Humor de Brunel (BRUMS-24) durante sete dias, com uma coleta de linha de base e duas coletas diárias (pré e pós-treino) nos seis dias de treino, e um total de 286 observações. Além da estatística descritiva, da consistência interna e da classificação dos perfis, as comparações entre dias e entre pré e pós-treino incluíram o tamanho e a magnitude do efeito, e as trajetórias foram analisadas por suavização, segundas derivadas, ajuste polinomial e localização dos cruzamentos entre as dimensões. Resultados: a deterioração concentrou-se no eixo energia–fadiga, com o vigor em queda e a fadiga em elevação do primeiro para o último dia, com efeito grande (d = -1,33 e d = 0,78) e confirmação multivariada (Wilks λ = 0,181). As trajetórias suavizadas apresentaram um ponto de inflexão na metade da semana, e a fadiga ultrapassou o vigor de forma definitiva no fim do microciclo, com a PTH a superar ambas as dimensões. A prevalência dos perfis deslocou-se do iceberg (48% no primeiro dia) para a barbatana de tubarão (22% no último dia), com aumento da chance desse perfil a cada dia (OR = 1,37). Conclusão: o humor migrou da prontidão para a fadiga funcional, em um padrão compatível com sobre-esforço funcional, o que recomenda centrar o monitoramento no par vigor–fadiga e no cruzamento entre as suas curvas.</w:t>
      </w:r>
    </w:p>
    <w:p>
      <w:pPr>
        <w:spacing w:line="276" w:lineRule="auto" w:after="160"/>
        <w:jc w:val="both"/>
      </w:pPr>
      <w:r>
        <w:rPr>
          <w:rFonts w:ascii="Palatino Linotype" w:hAnsi="Palatino Linotype"/>
          <w:b/>
          <w:sz w:val="20"/>
        </w:rPr>
        <w:t xml:space="preserve">Palavras-chave: </w:t>
      </w:r>
      <w:r>
        <w:rPr>
          <w:rFonts w:ascii="Palatino Linotype" w:hAnsi="Palatino Linotype"/>
          <w:b w:val="0"/>
          <w:sz w:val="20"/>
        </w:rPr>
        <w:t>humor; BRUMS; handebol; perfis de humor; fadiga; monitoramento do atleta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1. Introdução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monitoramento do estado do atleta consolidou-se como parte da gestão do treinamento no esporte de rendimento, e integra medidas objetivas de carga externa e interna a instrumentos subjetivos de autorrelato [1,2]. Entre esses instrumentos, os questionários de humor destacam-se pela praticidade, pelo baixo custo e pela sensibilidade às variações da carga, e mostram utilidade para o acompanhamento do bem-estar e do desempenho [3,4]. Revisões sistemáticas indicam, inclusive, que as medidas subjetivas costumam responder às alterações de carga com sensibilidade igual ou superior à de muitos marcadores objetivos, o que sustenta o seu uso rotineiro [3]. Por esse motivo, documentos de consenso recomendam a vigilância regular da fadiga e da recuperação como base para as decisões de treino [2].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Escala de Humor de Brunel (BRUMS) operacionaliza essa avaliação por meio de seis dimensões, a saber, tensão, depressão, raiva, vigor, fadiga e confusão, com propriedades psicométricas replicadas em diferentes idiomas e culturas [5,6]. A versão em português dispõe de validação para o contexto brasileiro e foi concebida, desde a origem, como ferramenta de detecção precoce de sinais associados ao excesso de treinamento [7]. A partir das seis dimensões calcula-se a perturbação total do humor (PTH), um índice-resumo do desequilíbrio afetivo que sintetiza o estado do atleta em um único valor e cuja associação com o desempenho tem sido documentada em meta-análise [4].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Para além dos escores isolados, o modelo dos perfis de humor organiza as seis dimensões em padrões reconhecíveis. O clássico perfil iceberg, com o vigor acima da média e as dimensões negativas rebaixadas, foi descrito no modelo de saúde mental como marca do atleta em prontidão [8]. Estudos posteriores, com grandes amostras e análise de agrupamento, identificaram e replicaram seis perfis distintos, entre os quais o iceberg, a barbatana de tubarão, que sinaliza fadiga com vigor ainda preservado, e perfis de maior risco, como o iceberg invertido e o submerso [9,10]. A leitura por perfis aproxima o dado psicométrico da linguagem do treinador, facilita a comunicação com a comissão técnica e tem sido proposta como recurso de rastreio da saúde mental no esporte [11–13].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Entre as seis dimensões, o vigor e a fadiga formam o eixo mais responsivo à carga e concentram boa parte do valor prático do monitoramento. Sob intensificação do treino, o vigor tende a cair e a fadiga a subir, um padrão observado em atletas de diferentes modalidades e sensível também à privação de sono [14,15]. Esse eixo responde ainda de forma aguda a cada sessão ou competição, com oscilações mensuráveis entre os momentos pré e pós-esforço, o que recomenda coletas repetidas dentro do dia, e não apenas entre dias [16].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leitura conjunta dessas variações remete ao continuum do sobre-esforço. A distinção entre o sobre-esforço funcional, o sobre-esforço não funcional e a síndrome de overtraining é hoje descrita como um processo gradual, de difícil diagnóstico por um único marcador, no qual a fadiga central e a piora do humor figuram entre os sinais mais precoces [17–19]. Nesse quadro, o acompanhamento do humor oferece um marcador sensível, de baixo custo e não invasivo, complementar aos marcadores fisiológicos, para vigiar a janela em que o sobre-esforço funcional é buscado de forma planejada [20].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handebol oferece um cenário exigente para essa vigilância. A modalidade é coletiva, intermitente e de alta intensidade, com sprints curtos, mudanças de direção, saltos, arremessos e contato físico, o que impõe elevada demanda neuromuscular e psicofisiológica, variável por posição de jogo [21–23]. O monitoramento longitudinal da carga interna ao longo da temporada e a atenção à fadiga, inclusive a mental, já foram descritos como relevantes para o rendimento na modalidade [24,25]. A acumulação de carga na semana tende, assim, a corroer o vigor e a elevar a fadiga, um padrão que, quando controlado, caracteriza o sobre-esforço funcional e antecede a recuperação planejada.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Apesar do interesse crescente, poucos estudos descrevem, dentro de um único microciclo de handebol de elite, a migração dos perfis de humor e a forma temporal exata das trajetórias do eixo energia–fadiga, com coletas pré e pós-treino que capturam também a variação dentro do dia [26–28]. O objetivo deste estudo foi descrever e caracterizar a dinâmica do humor de atletas de handebol de elite ao longo de um microciclo pré-competitivo, com quatro focos articulados: (i) o comportamento dos seis perfis de humor e a sua migração entre o primeiro e o último dia; (ii) a magnitude dos efeitos no eixo energia–fadiga, entre dias e entre pré e pós-treino; (iii) a forma temporal das trajetórias de vigor, fadiga e PTH, por meio de suavização, análise das segundas derivadas, ajuste polinomial e localização dos cruzamentos exatos entre as dimensões; e (iv) a leitura desse conjunto como um quadro de sobre-esforço funcional útil ao monitoramento aplicado. A Figura 1 resume o quadro conceitual que orienta essas análises.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85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85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1. </w:t>
      </w:r>
      <w:r>
        <w:rPr>
          <w:rFonts w:ascii="Palatino Linotype" w:hAnsi="Palatino Linotype"/>
          <w:sz w:val="18"/>
        </w:rPr>
        <w:t>Quadro conceitual do monitoramento do humor no eixo energia–fadiga: a carga do microciclo altera as dimensões do BRUMS, com queda do vigor e elevação da fadiga e da PTH, o que desloca os perfis de humor em direção à barbatana de tubarão, dentro da janela do sobre-esforço funcional, e retroalimenta as decisões de treino e recuperação.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2. Materiais e Métodos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2.1. Participantes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Participaram 27 atletas de handebol do sexo masculino, de nível de elite (idade de 22,0 ± 3,8 anos; 10,5 ± 3,8 anos de prática), das posições de armador, ala, pivô e goleiro. Todos treinavam regularmente no clube e estavam aptos no período do estudo.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2.2. Instrumento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humor foi avaliado pela BRUMS-24, que reúne seis dimensões (tensão, depressão, raiva, vigor, fadiga e confusão) com escores de 0 a 16, a partir das quais se calculou também a perturbação total do humor (PTH). O instrumento dispõe de validação e de propriedades psicométricas descritas para atletas brasileiros [7,29].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2.3. Procedimento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delineamento cobriu sete dias de um microciclo pré-competitivo, com uma coleta de linha de base no primeiro dia e duas coletas diárias, uma antes e outra depois do treino, nos seis dias subsequentes, o que totalizou 286 observações. As coletas ocorreram em ambiente padronizado, antes das refeições e do início da sessão, no caso do momento pré-treino. A Figura 2 sintetiza o delineamento e o plano de análise.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343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ogram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34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2. </w:t>
      </w:r>
      <w:r>
        <w:rPr>
          <w:rFonts w:ascii="Palatino Linotype" w:hAnsi="Palatino Linotype"/>
          <w:sz w:val="18"/>
        </w:rPr>
        <w:t>Organograma do delineamento do estudo: da amostra e do microciclo às coletas de linha de base e pré/pós-treino, às 286 observações do BRUMS-24 e aos cinco blocos do plano de análise.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2.4. Análise dos Dados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Empregaram-se estatística descritiva das seis dimensões e da PTH e avaliação da consistência interna por alfa de Cronbach. Como o teste de Shapiro-Wilk apontou desvios da normalidade em parte das dimensões, adotaram-se testes não paramétricos: o teste de Wilcoxon para a comparação entre pré e pós-treino, o teste de Friedman com o W de Kendall para a comparação entre os sete dias e a correlação de Spearman para as relações entre as dimensões, sempre com o cálculo do tamanho do efeito, classificado por magnitude. A confirmação multivariada da diferença entre o primeiro e o último dia recorreu à MANOVA em escores T. Cada observação foi classificada em um dos seis perfis de humor a partir dos escores padronizados, e a distribuição dos perfis foi avaliada pelo teste do qui-quadrado, com a tendência de migração resumida por uma regressão logística. A consistência das medidas repetidas foi estimada pelo coeficiente de correlação intraclasse (ICC), do qual se derivaram os limiares de mudança, a saber, o erro-padrão de medida, a mudança mínima detectável e a menor mudança relevante.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forma temporal das trajetórias foi analisada por três abordagens complementares. Primeiro, as séries de vigor, fadiga e PTH foram suavizadas por spline, e a segunda derivada de cada curva localizou o ponto de inflexão, definido como a raiz da segunda derivada, no qual a concavidade muda e a taxa de variação atinge o seu limite. Segundo, cada trajetória foi modelada por um ajuste polinomial de grau três, em duas resoluções, sobre as sete médias diárias e sobre os quatorze pontos pré e pós-treino, do qual se extraíram a equação, o coeficiente de determinação (R²) e a inflexão analítica (x = -b/3a). Terceiro, sobre as curvas ajustadas foram localizados os cruzamentos exatos entre as dimensões, ou seja, os dias em que uma curva iguala e ultrapassa a outra. As análises foram conduzidas em Python (pacotes NumPy, SciPy, pandas, statsmodels e Plotly), com nível de significância de 5%.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3. Resultados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3.1. Descrição e Consistência das Dimensões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Tabela 1 resume as seis dimensões do BRUMS e a PTH no conjunto das observações. O vigor apresentou a maior média entre as dimensões, ao passo que as dimensões negativas concentraram-se em valores baixos, com médias próximas do limite inferior da escala.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1. </w:t>
      </w:r>
      <w:r>
        <w:rPr>
          <w:rFonts w:ascii="Palatino Linotype" w:hAnsi="Palatino Linotype"/>
          <w:sz w:val="18"/>
        </w:rPr>
        <w:t>Estatística descritiva das dimensões do BRUMS e da perturbação total do humor (286 observações).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146"/>
        <w:gridCol w:w="3146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Média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DP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Mín.–Máx.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1,4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2,4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0–16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1,6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0–14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5,5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0–16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4,4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10,1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-12–52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DP: desvio-padrão. PTH: perturbação total do humor. Escores das dimensões variam de 0 a 16.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Figura 3 apresenta os diagramas de caixa das seis dimensões, em painéis separados; como as dimensões diferem muito em amplitude, cada painel usa a escala da própria variável. O vigor e a fadiga percorrem a maior parte da escala e apresentam média e mediana próximas, ao passo que as dimensões negativas concentram a caixa junto ao zero e exibem a média acima da mediana, o que revela assimetria positiva e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261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hum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2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3. </w:t>
      </w:r>
      <w:r>
        <w:rPr>
          <w:rFonts w:ascii="Palatino Linotype" w:hAnsi="Palatino Linotype"/>
          <w:sz w:val="18"/>
        </w:rPr>
        <w:t>Diagramas de caixa das seis dimensões do BRUMS, em painéis separados; cada painel usa a escala da própria variável, com a mediana (linha sólida) e a média (linha tracejada e losango).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consistência interna foi adequada nas duas dimensões do eixo energia–fadiga (alfa de 0,68 para o vigor e 0,80 para a fadiga). A PTH associou-se de forma forte ao vigor e à fadiga (correlações de 0,67 e 0,77), e essas duas dimensões explicaram 70% da sua variância, o que confirma o eixo energia–fadiga como o núcleo do sinal.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2. </w:t>
      </w:r>
      <w:r>
        <w:rPr>
          <w:rFonts w:ascii="Palatino Linotype" w:hAnsi="Palatino Linotype"/>
          <w:sz w:val="18"/>
        </w:rPr>
        <w:t>Consistência das medidas repetidas ao longo da semana (coeficiente de correlação intraclasse, ICC).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146"/>
        <w:gridCol w:w="3146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ICC(2,1)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ICC(2,k)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Consistência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0,53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0,89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0,61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0,64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0,68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0,94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0,39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pobre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0,36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0,80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pobre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ICC(2,1) = medida isolada; ICC(2,k) = média das medidas. Consistência: &lt; 0,50 pobre; 0,50–0,75 moderada; &gt; 0,75 boa.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partir do ICC derivaram-se os limiares de mudança do eixo energia–fadiga (Tabela 3). No vigor, o erro-padrão de medida foi de 2,3 ponto e a mudança mínima detectável, de 5,3 a 6,3 pontos; na fadiga, de 2,5 e de 5,9 a 7,0 pontos. Esses valores superam a menor mudança relevante (SWC), o que indica que, no plano individual, apenas oscilações de cerca de 5,3 a 5,9 pontos podem ser lidas como mudança real; por isso a inferência se apoia nas tendências de grupo.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3. </w:t>
      </w:r>
      <w:r>
        <w:rPr>
          <w:rFonts w:ascii="Palatino Linotype" w:hAnsi="Palatino Linotype"/>
          <w:sz w:val="18"/>
        </w:rPr>
        <w:t>Erro de medida e limiares de mudança do vigor e da fadiga (escala 0–16): erro-padrão de medida (SEM), mudança mínima detectável (MDC) e menor mudança relevante (SWC).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970"/>
        <w:gridCol w:w="1970"/>
        <w:gridCol w:w="1970"/>
        <w:gridCol w:w="197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SEM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MDC90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MDC95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SWC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2,3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5,3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6,3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5,9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7,0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SEM = DP × √(1 - ICC); MDC = 1,65 (90%) ou 1,96 (95%) × √2 × SEM; SWC = 0,2 × DP entre atletas.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3.2. Perfis de Humor e sua Migração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Os seis perfis de humor estiveram representados na amostra. A Figura 4 apresenta cada perfil identificado no estudo em escores T, com a respectiva prevalência. O perfil iceberg exprime prontidão, com o vigor acima da média e as dimensões negativas abaixo, ao passo que a barbatana de tubarão sinaliza pico isolado de fadiga [7].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5459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4. </w:t>
      </w:r>
      <w:r>
        <w:rPr>
          <w:rFonts w:ascii="Palatino Linotype" w:hAnsi="Palatino Linotype"/>
          <w:sz w:val="18"/>
        </w:rPr>
        <w:t>Perfis de humor identificados na amostra, em escores T (M = 50; DP = 10); prevalência de cada perfil entre parênteses.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comparação entre o primeiro e o último dia revelou a reconfiguração do perfil médio do grupo (Figura 5). No primeiro dia, o perfil assumiu o formato iceberg; no último, inverteu-se para a barbatana de tubarão, com a fadiga no topo e o vigor rebaixado.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223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2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5. </w:t>
      </w:r>
      <w:r>
        <w:rPr>
          <w:rFonts w:ascii="Palatino Linotype" w:hAnsi="Palatino Linotype"/>
          <w:sz w:val="18"/>
        </w:rPr>
        <w:t>Perfil de humor em escores T no primeiro e no último dia do microciclo.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Essa mudança correspondeu a um deslocamento da prevalência dos perfis (Tabela 4). O perfil iceberg caiu de 48% para 22%, a barbatana de tubarão subiu de 4% para 22% e o submerso passou de 4% para 14%. A reorganização categórica não alcançou significância no qui-quadrado (χ² = 8,96; p = 0,111), resultado esperado pela baixa contagem por célula, mas a regressão logística confirmou o aumento da chance da barbatana de tubarão a cada dia (OR = 1,37).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4. </w:t>
      </w:r>
      <w:r>
        <w:rPr>
          <w:rFonts w:ascii="Palatino Linotype" w:hAnsi="Palatino Linotype"/>
          <w:sz w:val="18"/>
        </w:rPr>
        <w:t>Distribuição dos seis perfis de humor no primeiro e no último dia do microciclo: n (%).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6293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Perfil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1, n (%)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7, n (%)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Iceberg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13 (48,1%)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 (21,6%)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Everest invertido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 (14,8%)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 (10,8%)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Iceberg invertido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 (7,4%)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 (5,4%)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Submerso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 (3,7%)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 (13,5%)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Barbatana de tubarão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 (3,7%)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 (21,6%)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Superfície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 (22,2%)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10 (27,0%)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χ² = 8,96; p = 0,111. A migração é descritiva e converge com a queda do vigor e a elevação da fadiga.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3.3. Diferença entre o Primeiro e o Último Dia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comparação entre o primeiro e o último dia quantificou a magnitude da mudança em cada dimensão (Tabela 5). O efeito foi grande no vigor, que caiu 49% (dz = -1,33), e na fadiga, que subiu 115% (dz = 0,78). A análise multivariada confirmou a diferença global (Wilks λ = 0,181; p &lt; 0,001), e, sob a correção de Bonferroni, apenas o vigor e a fadiga permaneceram significativos.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5. </w:t>
      </w:r>
      <w:r>
        <w:rPr>
          <w:rFonts w:ascii="Palatino Linotype" w:hAnsi="Palatino Linotype"/>
          <w:sz w:val="18"/>
        </w:rPr>
        <w:t>Diferença das dimensões do BRUMS e da PTH entre o primeiro e o último dia (com tamanho e magnitude do efeito).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258"/>
        <w:gridCol w:w="1258"/>
        <w:gridCol w:w="1258"/>
        <w:gridCol w:w="1258"/>
        <w:gridCol w:w="1258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1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7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Variação (%)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dz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Magnitude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8,43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4,29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-49%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&lt; 0,001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-1,33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grande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3,43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7,36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+115%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+0,78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2,19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-58%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-0,60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0,52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1,29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+145%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0,504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+0,22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2,19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2,64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+21%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0,875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+0,09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trivial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1,19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0,52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-56%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-0,57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1,10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8,45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+672%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0,018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+0,55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dz = tamanho de efeito intraindividual; magnitude: trivial (&lt; 0,2); pequeno (0,2–0,5); médio (0,5–0,8); grande (&gt; 0,8).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3.4. Comparação das Dimensões entre os Dias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teste de Friedman (Tabela 6) apontou variação significativa no vigor (p &lt; 0,001; W = 0,21) e na fadiga (p = 0,007; W = 0,16), com magnitude pequena a moderada, além de diferenças na tensão e na confusão.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6. </w:t>
      </w:r>
      <w:r>
        <w:rPr>
          <w:rFonts w:ascii="Palatino Linotype" w:hAnsi="Palatino Linotype"/>
          <w:sz w:val="18"/>
        </w:rPr>
        <w:t>Médias diárias das dimensões do BRUMS e teste de Friedman com W de Kendall e magnitude do efeito.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20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1587"/>
      </w:tblGrid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Dimensão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χ²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p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W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Magnitude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Tensão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14,5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0,025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0,13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Depressão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3,5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0,751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trivial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Raiva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7,9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0,247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trivial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Vigor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8,3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4,4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23,6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&lt; 0,001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Fadiga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3,4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6,0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7,2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17,9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0,007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0,16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Confusão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1,0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22,9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&lt; 0,001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0,20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PTH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3,3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5,0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8,3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13,8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0,032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0,12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W de Kendall: trivial (&lt; 0,1); pequeno (0,1–0,3); moderado (0,3–0,5); grande (&gt; 0,5). PTH: perturbação total do humor.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Figura 6 ilustra a trajetória do vigor, da fadiga e da PTH, com a queda progressiva do vigor e a elevação da fadiga em direção ao fim do microciclo, e a Figura S1 detalha, por dia, a distribuição de cada dimensão.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884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nt_f1_trajeto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8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6. </w:t>
      </w:r>
      <w:r>
        <w:rPr>
          <w:rFonts w:ascii="Palatino Linotype" w:hAnsi="Palatino Linotype"/>
          <w:sz w:val="18"/>
        </w:rPr>
        <w:t>Trajetória de vigor, fadiga e perturbação total do humor ao longo dos sete dias (curvas suavizadas; ponto de inflexão e extremos sinalizados).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comparação direta da PTH entre três momentos do microciclo (Figura S2) ilustra a mesma tendência: a perturbação total do humor aumentou do primeiro para o último dia, e a diferença foi significativa entre o Dia 1 e o Dia 7 (p = 0,008), embora as comparações entre dias adjacentes não tenham alcançado significância.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distribuição completa da PTH em cada dia (Figura S3) e a sua distribuição acumulada (Figura S4) confirmam o deslocamento ao longo da semana. Os diagramas de violino mostram a densidade da PTH a subir do Dia 1 ao Dia 7, e as curvas de distribuição acumulada revelam um deslocamento sistemático para a direita, com o Dia 7 situado acima do Dia 1 em praticamente toda a faixa de escores.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3.5. Suavização, Derivadas e Cruzamento das Trajetórias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Para separar o sinal do ruído, as trajetórias do vigor, da fadiga e da PTH foram suavizadas sobre os doze pontos pré e pós-treino por meio de uma spline, e a segunda derivada de cada curva localizou o seu ponto de inflexão, ou seja, o momento em que a concavidade muda e a taxa de variação atinge o seu limite (Figura 7; Tabela 7). Depois de removido o ruído, cada dimensão exibiu um único ponto de inflexão, situado na metade da semana (em torno do Dia 3,8), o que marca a transição entre a fase inicial de prontidão e a fase de acúmulo de carga. A curva suavizada do vigor subiu até um máximo em torno do Dia 5,0 e caiu para o seu mínimo ao fim da semana, enquanto a fadiga e a PTH percorreram o caminho inverso e atingiram os seus máximos no último dia.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780000" cy="24230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ooth_deriv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423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7. </w:t>
      </w:r>
      <w:r>
        <w:rPr>
          <w:rFonts w:ascii="Palatino Linotype" w:hAnsi="Palatino Linotype"/>
          <w:sz w:val="18"/>
        </w:rPr>
        <w:t>Trajetórias suavizadas do vigor, da fadiga e da PTH sobre os doze pontos pré e pós-treino. Marcadores translúcidos: sinal bruto; linha grossa: sinal suavizado; linha pontilhada: ponto de inflexão (segunda derivada nula); triângulos: máximo e mínimo. Áreas sombreadas: início e acúmulo da semana.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7. </w:t>
      </w:r>
      <w:r>
        <w:rPr>
          <w:rFonts w:ascii="Palatino Linotype" w:hAnsi="Palatino Linotype"/>
          <w:sz w:val="18"/>
        </w:rPr>
        <w:t>Ponto de inflexão (segunda derivada nula) e extremos das trajetórias suavizadas do eixo energia–fadiga.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146"/>
        <w:gridCol w:w="3146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Inflexão (dia)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Máximo: dia (escore)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Mínimo: dia (escore)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3,8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5,0 (5,9)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7,2 (4,2)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3,8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7,2 (7,7)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1,8 (4,5)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3,5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7,2 (9,9)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4,7 (3,2)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Curvas suavizadas por spline sobre os 12 pontos pré/pós; inflexão = raiz da segunda derivada. PTH: perturbação total do humor.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mesma inflexão foi examinada por dois caminhos complementares, detalhados no material suplementar. O painel da segunda derivada localiza o cruzamento por zero de cada curva e realça os extremos com o respectivo valor (Figura S7). Em paralelo, um ajuste polinomial de grau três resume cada trajetória por uma equação e reproduz a inflexão de forma analítica, na raiz da segunda derivada (x = -b/3a), em duas resoluções (Figura S8). Sobre as sete médias diárias, o ajuste foi forte, com R² de 0,96 para o vigor, 0,95 para a fadiga e 0,80 para a PTH, e inflexões nos dias 4,2, 4,0 e 3,9. Sobre os quatorze pontos pré e pós-treino, incluída a linha de base do primeiro dia, o R² foi de 0,80, 0,75 e 0,60, com inflexões praticamente idênticas. As duas resoluções convergem para a transição na metade da semana e reforçam, por via paramétrica, o achado da spline.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Como o vigor e a fadiga compartilham a mesma escala, as suas trajetórias podem ser comparadas de forma direta e os seus cruzamentos exatos podem ser localizados (Figura 8). No primeiro dia, o vigor superou a fadiga por ampla margem (média de 8,4 contra 3,4 pontos). O vigor caiu e a fadiga subiu até que as duas curvas se igualaram pela primeira vez em torno do dia 2,5 (escore 5,3). A partir daí, o vigor e a fadiga percorreram uma faixa estreita e próxima e voltaram a cruzar-se nos dias 4,0 e 6,0, sinal de um equilíbrio instável entre energia e fadiga durante a maior parte da semana. Após o último cruzamento, no dia 6,0 (escore 5,8), a fadiga afastou-se de forma definitiva acima do vigor. No mesmo trecho final, a perturbação total do humor, que vinha abaixo das duas dimensões, subiu e ultrapassou primeiro o vigor (dia 6,4; escore 5,5) e depois a fadiga (dia 6,6; escore 6,6), o que marca a deterioração conjunta do estado de humor no fim do microciclo.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5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_traj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5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8. </w:t>
      </w:r>
      <w:r>
        <w:rPr>
          <w:rFonts w:ascii="Palatino Linotype" w:hAnsi="Palatino Linotype"/>
          <w:sz w:val="18"/>
        </w:rPr>
        <w:t>Cruzamentos exatos das trajetórias de vigor, fadiga e PTH ao longo do microciclo (curvas do ajuste polinomial sobre as médias diárias; losangos: pontos de cruzamento, com o dia e o escore). Áreas sombreadas: início e acúmulo da semana.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3.6. Dias de Pico e Comparação de Cada Dia ao Primeiro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localização dos picos sintetiza a dinâmica semanal (Tabela 8): o vigor foi máximo no Dia 1 e mínimo no Dia 7, ao passo que a fadiga foi máxima no Dia 7. O início da semana reúne maior prontidão e o final concentra a fadiga e a raiva.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8. </w:t>
      </w:r>
      <w:r>
        <w:rPr>
          <w:rFonts w:ascii="Palatino Linotype" w:hAnsi="Palatino Linotype"/>
          <w:sz w:val="18"/>
        </w:rPr>
        <w:t>Dia de maior e de menor expressão de cada dimensão do humor (médias diárias).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970"/>
        <w:gridCol w:w="1970"/>
        <w:gridCol w:w="1970"/>
        <w:gridCol w:w="197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de maior valor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Valor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de menor valor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Valor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2,15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0,59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2,54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8,30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4,43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7,22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3,37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1,04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0,21</w:t>
            </w:r>
          </w:p>
        </w:tc>
      </w:tr>
    </w:tbl>
    <w:p>
      <w:pPr>
        <w:spacing w:after="40"/>
      </w:pP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No pós-teste que compara todos os dias entre si (Tabela 9; Figura S5), o vigor diferiu de forma significativa em 9 dos 21 pares de dias e a fadiga em 6, sempre no sentido de piora em relação aos primeiros dias, o que confirma a deterioração progressiva do eixo energia–fadiga.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9. </w:t>
      </w:r>
      <w:r>
        <w:rPr>
          <w:rFonts w:ascii="Palatino Linotype" w:hAnsi="Palatino Linotype"/>
          <w:sz w:val="18"/>
        </w:rPr>
        <w:t>Médias marginais estimadas por dia do vigor e da fadiga, com comparação de cada dia ao Dia 1 (pós-teste de Tukey).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940"/>
        <w:gridCol w:w="394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Vigor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Fadiga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8,30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3,37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2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5,45*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5,18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3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5,65*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4,84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4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5,31*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5,70*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5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5,80*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5,01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6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5,63*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5,72*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4,10*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6,93*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* diferença significativa em relação ao Dia 1 (Tukey, p &lt; 0,05).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3.7. Variação entre Pré e Pós-Treino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teste de Wilcoxon (Tabela 10) evidenciou uma resposta aguda coerente com o esforço: o vigor caiu (d = -0,47) e a fadiga e a PTH subiram do momento pré para o pós, com efeito de magnitude pequena a moderada. A Figura S6 apresenta esses escores por dia e mostra que a diferença entre pré e pós-treino se mantém ao longo da semana.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10. </w:t>
      </w:r>
      <w:r>
        <w:rPr>
          <w:rFonts w:ascii="Palatino Linotype" w:hAnsi="Palatino Linotype"/>
          <w:sz w:val="18"/>
        </w:rPr>
        <w:t>Comparação entre pré e pós-treino das dimensões do BRUMS e da PTH (teste de Wilcoxon e d de Cohen).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258"/>
        <w:gridCol w:w="1258"/>
        <w:gridCol w:w="1258"/>
        <w:gridCol w:w="1258"/>
        <w:gridCol w:w="1258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Pré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Pós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Variação (%)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Magnitude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1,60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+23%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0,057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1,21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+17%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0,687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+0,24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1,51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+15%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0,745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+0,13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trivial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4,94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-14%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-0,47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4,61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6,28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+36%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0,41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0,41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0,706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-0,01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trivial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2,91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6,06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+108%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p do teste de Wilcoxon; d = tamanho de efeito de Cohen. PTH: perturbação total do humor.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3.8. Relações entre as Dimensões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As correlações de Spearman (Tabela 11) mostraram que as dimensões negativas se associam entre si, com destaque para os pares depressão–raiva e tensão–confusão, e que a fadiga se relaciona com a depressão e a raiva. O vigor manteve-se relativamente independente, o que reforça a sua leitura como um polo próprio do eixo energia–fadiga.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11. </w:t>
      </w:r>
      <w:r>
        <w:rPr>
          <w:rFonts w:ascii="Palatino Linotype" w:hAnsi="Palatino Linotype"/>
          <w:sz w:val="18"/>
        </w:rPr>
        <w:t>Correlações de Spearman significativas entre as dimensões do BRUMS (n = 27 atletas).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940"/>
        <w:gridCol w:w="394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Par de dimensões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ρ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 × Fadiga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-0,40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0,037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 × Depressão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+0,42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 × Raiva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+0,49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0,010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 × Confusão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+0,45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 × Raiva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+0,53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 × Confusão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+0,43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0,027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ρ = coeficiente de correlação de Spearman. Apresentam-se apenas os pares com p &lt; 0,05.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relação entre o vigor e a fadiga, além de negativa, tornou-se mais estreita à medida que a carga se acumulou (Figura 9): a regressão por fase do microciclo mostrou um acoplamento fraco na fase inicial (r = -0,35) e mais forte na fase de acúmulo (r = -0,51), o que sugere que os dois polos do eixo energia–fadiga passam a variar de forma mais solidária sob fadiga acumulada.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97692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_reg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9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9. </w:t>
      </w:r>
      <w:r>
        <w:rPr>
          <w:rFonts w:ascii="Palatino Linotype" w:hAnsi="Palatino Linotype"/>
          <w:sz w:val="18"/>
        </w:rPr>
        <w:t>Relação entre vigor e fadiga por fase do microciclo, com a reta de regressão de cada grupo (início: dias 1 a 4; acúmulo: dias 5 a 7).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3.9. Estrutura Dimensional (Análise de Componentes Principais)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Uma análise exploratória de componentes principais resumiu a estrutura das seis dimensões. Os dois primeiros componentes explicaram 64% da variância (41% no primeiro e 23% no segundo). O círculo de correlação (Figura 10) mostra que as dimensões negativas (depressão, raiva, confusão e fadiga) se projetam juntas no lado positivo do primeiro componente, que funciona como um eixo geral de perturbação, ao passo que o vigor aponta em sentido oposto. Essa oposição entre o vigor e as dimensões de perturbação reforça, por via independente, a centralidade do eixo energia–fadiga.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39428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a_circul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9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10. </w:t>
      </w:r>
      <w:r>
        <w:rPr>
          <w:rFonts w:ascii="Palatino Linotype" w:hAnsi="Palatino Linotype"/>
          <w:sz w:val="18"/>
        </w:rPr>
        <w:t>Círculo de correlação da análise de componentes principais das seis dimensões do BRUMS. A espessura de cada seta é proporcional à contribuição da variável ao plano dos dois primeiros componentes.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4. Discussão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4.1. Migração do Humor e o Eixo Energia–Fadiga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Os resultados descrevem, em um microciclo pré-competitivo de handebol de elite, a migração do humor da prontidão para a fadiga funcional. A queda do vigor e a elevação da fadiga entre o primeiro e o último dia alcançaram efeito grande e foram confirmadas pela análise multivariada, o que situa o eixo energia–fadiga como o principal responsável pela mudança do estado do atleta. Esse padrão reproduz, dentro de um microciclo de handebol, o comportamento já documentado em outras modalidades sob acúmulo de carga e sob treino intensificado [14,15,20].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À tendência semanal somou-se uma resposta aguda coerente com o esforço. Entre o momento pré e o pós-treino, o vigor caiu e a fadiga e a PTH subiram, com magnitude de pequena a moderada, o que acrescenta uma camada de variação dentro do dia à deterioração observada entre dias. Esse comportamento converge com o de outros esportes coletivos, nos quais o humor responde de forma imediata ao evento esportivo, e reforça o valor de coletas repetidas dentro do dia, e não apenas entre dias [16].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perturbação total do humor comportou-se como um integrador desse eixo. O vigor e a fadiga associaram-se de forma forte à PTH e explicaram a maior parte da sua variância, ao passo que as dimensões negativas, concentradas em valores baixos, contribuíram pouco para a variação. A consistência interna adequada do vigor e da fadiga e a sua correlação intraclasse de moderada a boa convergem para a mesma conclusão, a saber, que o núcleo do sinal do monitoramento reside no par energia–fadiga [4].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4.2. Perfis de Humor e Sobre-esforço Funcional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leitura por perfis acrescentou clareza a essa descrição. O deslocamento do perfil iceberg para a barbatana de tubarão traduz a acumulação da carga sem os sinais de comprometimento da saúde mental, uma vez que os perfis de maior risco, como o iceberg invertido e o submerso, não se instalaram. Quando comparados à distribuição de referência de uma grande amostra brasileira e aos padrões descritos em análises de agrupamento, os nossos dados partem de um predomínio semelhante de iceberg e elevam a barbatana de tubarão apenas ao fim da semana [9,10,26].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Essa reconfiguração tem valor comunicativo direto. O perfil condensa as seis dimensões em uma imagem única, o que aproxima o dado psicométrico da linguagem da comissão técnica e favorece a decisão de treino e de recuperação. A mesma leitura por perfis tem sido proposta como recurso de rastreio da saúde mental no esporte, o que amplia o alcance do monitoramento para além do desempenho [11–13].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4.3. Contribuição Metodológica: Derivadas, Ajuste Polinomial e Cruzamentos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Além de comparar médias, este estudo mapeou a forma temporal exata das trajetórias. A suavização das séries e o cálculo da segunda derivada localizaram, em cada dimensão do eixo energia–fadiga, um único ponto de inflexão situado na metade da semana, no qual a concavidade muda e a taxa de variação atinge o seu limite. Esse marcador objetivo demarca a transição entre a fase inicial de prontidão e a fase de acúmulo de carga e oferece uma leitura que a simples comparação entre o primeiro e o último dia não revela.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ajuste polinomial de grau três acrescentou uma síntese paramétrica a essa análise. O modelo reproduziu a inflexão de forma analítica, na raiz da segunda derivada, e resumiu cada trajetória por uma equação, com ajuste forte sobre as médias diárias (R² de 0,96 a 0,95 no eixo energia–fadiga). As duas resoluções, sobre sete médias diárias e sobre quatorze pontos pré e pós-treino, apontaram inflexões quase idênticas, o que indica que o achado da transição na metade da semana não depende do método nem da granularidade da medida. A convergência entre a spline não paramétrica e o polinômio paramétrico reforça a robustez do resultado.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localização dos cruzamentos exatos representa a contribuição mais original desta abordagem. O vigor superou a fadiga por ampla margem no início e foi alcançado por ela ainda na primeira metade da semana, mas apenas ao fim do microciclo a fadiga afastou-se de forma definitiva acima do vigor, seguida pela PTH, que ultrapassou primeiro o vigor e depois a fadiga. A datação desses cruzamentos converte a ideia qualitativa de inversão do eixo energia–fadiga em um evento com dia e escore definidos, o que fornece um candidato a marcador temporal do início do sobre-esforço funcional, coerente com o continuum descrito entre sobre-esforço e overtraining [17–19].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4.4. Aplicação Prática e Perspectivas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As características do handebol ajudam a explicar esse comportamento e orientam a aplicação. A modalidade impõe esforço intermitente de alta intensidade, com sprints curtos, mudanças de direção, saltos e contato, o que gera elevada demanda neuromuscular e psicofisiológica ao longo da semana e sustenta tanto a tendência de acúmulo quanto a resposta aguda entre o pré e o pós-treino [21–23]. Na prática, o par vigor–fadiga concentra o sinal útil, e o cruzamento entre as suas curvas oferece um alerta simples e visual, capaz de complementar o monitoramento de carga interna e de fadiga já descrito na modalidade [24,25].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acompanhamento subjetivo do humor deve ser lido como parte de um monitoramento multidomínio, e não como medida isolada. A sua sensibilidade, o baixo custo e o caráter não invasivo tornam-no complementar aos marcadores fisiológicos, endócrinos e de bem-estar praticados em esportes coletivos [1,27,28]. Como agenda futura, recomenda-se integrar medidas objetivas de carga a este delineamento, ampliar a amostra e testar se a datação do cruzamento do eixo energia–fadiga antecipa desfechos de fadiga e de desempenho, de modo a validar o marcador temporal aqui proposto [2,3].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4.5. Limitações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estudo tem limitações, entre as quais a amostra de um único clube, o recorte de um microciclo e a ausência de medidas objetivas de carga neste recorte, o que restringe a generalização e impede inferências de causa. O pequeno número de observações distribuído por seis perfis reduz a potência do teste categórico, e o erro de medida de uma leitura isolada recomenda cautela na interpretação individual, de modo que a inferência se apoia nas tendências de grupo.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4.6. Conclusões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Em um microciclo pré-competitivo de handebol de elite, o humor migrou da prontidão para a fadiga funcional, com o eixo energia–fadiga a concentrar os maiores efeitos e a sustentar a reconfiguração dos perfis do iceberg para a barbatana de tubarão. A análise das trajetórias localizou um ponto de inflexão na metade da semana e datou o cruzamento em que a fadiga ultrapassa o vigor no fim do microciclo, o que converte a inversão do eixo energia–fadiga em um evento mensurável. O padrão é compatível com sobre-esforço funcional e não indicou instalação dos perfis de maior risco. Do ponto de vista prático, recomenda-se centrar o monitoramento rotineiro no par vigor–fadiga ao longo da semana, com atenção ao cruzamento entre as suas curvas, integrado a um acompanhamento multidomínio do estado do atleta [2,30].</w:t>
      </w:r>
    </w:p>
    <w:p>
      <w:pPr>
        <w:spacing w:after="80"/>
      </w:pP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Materiais Suplementares: </w:t>
      </w:r>
      <w:r>
        <w:rPr>
          <w:rFonts w:ascii="Palatino Linotype" w:hAnsi="Palatino Linotype"/>
          <w:sz w:val="18"/>
        </w:rPr>
        <w:t>As figuras suplementares (Figuras S1 a S8) estão disponíveis ao fim deste documento e detalham a distribuição diária das dimensões, as comparações par a par da PTH, os diagramas de violino e a distribuição acumulada, as médias marginais diárias, a resposta pré e pós-treino, a análise por derivadas e o ajuste polinomial das trajetórias.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Contribuições dos Autores: </w:t>
      </w:r>
      <w:r>
        <w:rPr>
          <w:rFonts w:ascii="Palatino Linotype" w:hAnsi="Palatino Linotype"/>
          <w:sz w:val="18"/>
        </w:rPr>
        <w:t>[conceituação; metodologia; análise formal; investigação; redação do rascunho original; redação, revisão e edição]. Todos os autores leram e concordaram com a versão publicada do manuscrito.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Financiamento: </w:t>
      </w:r>
      <w:r>
        <w:rPr>
          <w:rFonts w:ascii="Palatino Linotype" w:hAnsi="Palatino Linotype"/>
          <w:sz w:val="18"/>
        </w:rPr>
        <w:t>[Esta pesquisa não recebeu financiamento externo / nome da agência e número do processo].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Declaração do Comitê de Ética: </w:t>
      </w:r>
      <w:r>
        <w:rPr>
          <w:rFonts w:ascii="Palatino Linotype" w:hAnsi="Palatino Linotype"/>
          <w:sz w:val="18"/>
        </w:rPr>
        <w:t>O estudo foi conduzido de acordo com a Declaração de Helsinque e aprovado pelo Comitê de Ética em Pesquisa de [Instituição] (CAAE [número]; parecer [número], [data]).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Declaração de Consentimento Informado: </w:t>
      </w:r>
      <w:r>
        <w:rPr>
          <w:rFonts w:ascii="Palatino Linotype" w:hAnsi="Palatino Linotype"/>
          <w:sz w:val="18"/>
        </w:rPr>
        <w:t>O termo de consentimento livre e esclarecido foi obtido de todos os participantes envolvidos no estudo.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Declaração de Disponibilidade dos Dados: </w:t>
      </w:r>
      <w:r>
        <w:rPr>
          <w:rFonts w:ascii="Palatino Linotype" w:hAnsi="Palatino Linotype"/>
          <w:sz w:val="18"/>
        </w:rPr>
        <w:t>[Os dados que sustentam os achados deste estudo estão disponíveis com o autor correspondente mediante solicitação razoável / restrições aplicam-se conforme acordo com a instituição].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Agradecimentos: </w:t>
      </w:r>
      <w:r>
        <w:rPr>
          <w:rFonts w:ascii="Palatino Linotype" w:hAnsi="Palatino Linotype"/>
          <w:sz w:val="18"/>
        </w:rPr>
        <w:t>[Agradecimentos à comissão técnica e aos atletas participantes].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Conflitos de Interesse: </w:t>
      </w:r>
      <w:r>
        <w:rPr>
          <w:rFonts w:ascii="Palatino Linotype" w:hAnsi="Palatino Linotype"/>
          <w:sz w:val="18"/>
        </w:rPr>
        <w:t>Os autores declaram não haver conflito de interesse.</w:t>
      </w:r>
    </w:p>
    <w:p>
      <w:pPr>
        <w:spacing w:before="200" w:after="60" w:line="276" w:lineRule="auto"/>
      </w:pPr>
      <w:r>
        <w:rPr>
          <w:rFonts w:ascii="Palatino Linotype" w:hAnsi="Palatino Linotype"/>
          <w:b/>
          <w:sz w:val="20"/>
        </w:rPr>
        <w:t>Referências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1. </w:t>
      </w:r>
      <w:r>
        <w:rPr>
          <w:rFonts w:ascii="Palatino Linotype" w:hAnsi="Palatino Linotype"/>
          <w:sz w:val="17"/>
        </w:rPr>
        <w:t>Helwig, J.; Diels, J.; Röll, M.; Mahler, H.; Gollhofer, A.; Roecker, K.; Willwacher, S. Relationships between external, wearable sensor-based, and internal parameters: A systematic review. Sensors 2023, 23, 827. https://doi.org/10.3390/s23020827.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2. </w:t>
      </w:r>
      <w:r>
        <w:rPr>
          <w:rFonts w:ascii="Palatino Linotype" w:hAnsi="Palatino Linotype"/>
          <w:sz w:val="17"/>
        </w:rPr>
        <w:t>Kellmann, M.; Bertollo, M.; Bosquet, L.; Brink, M.; Coutts, A.J.; Duffield, R.; Erlacher, D.; Halson, S.L.; Hecksteden, A.; Heidari, J.; et al. Recovery and performance in sport: Consensus statement. Int. J. Sports Physiol. Perform. 2018, 13, 240–245. https://doi.org/10.1123/ijspp.2017-0759.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3. </w:t>
      </w:r>
      <w:r>
        <w:rPr>
          <w:rFonts w:ascii="Palatino Linotype" w:hAnsi="Palatino Linotype"/>
          <w:sz w:val="17"/>
        </w:rPr>
        <w:t>Saw, A.E.; Main, L.C.; Gastin, P.B. Monitoring the athlete training response: Subjective self-reported measures trump commonly used objective measures: A systematic review. Br. J. Sports Med. 2016, 50, 281–291. https://doi.org/10.1136/bjsports-2015-094758.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4. </w:t>
      </w:r>
      <w:r>
        <w:rPr>
          <w:rFonts w:ascii="Palatino Linotype" w:hAnsi="Palatino Linotype"/>
          <w:sz w:val="17"/>
        </w:rPr>
        <w:t>Lochbaum, M.; Zanatta, T.; Kirschling, D.; May, E. The Profile of Mood States and athletic performance: A meta-analysis of published studies. Eur. J. Investig. Health Psychol. Educ. 2021, 11, 50–70. https://doi.org/10.3390/ejihpe11010005.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5. </w:t>
      </w:r>
      <w:r>
        <w:rPr>
          <w:rFonts w:ascii="Palatino Linotype" w:hAnsi="Palatino Linotype"/>
          <w:sz w:val="17"/>
        </w:rPr>
        <w:t>Terry, P.C.; Lane, A.M.; Fogarty, G.J. Construct validity of the Profile of Mood States, Adolescents for use with adults. Psychol. Sport Exerc. 2003, 4, 125–139. https://doi.org/10.1016/S1469-0292(02)00035-8.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6. </w:t>
      </w:r>
      <w:r>
        <w:rPr>
          <w:rFonts w:ascii="Palatino Linotype" w:hAnsi="Palatino Linotype"/>
          <w:sz w:val="17"/>
        </w:rPr>
        <w:t>Terry, P.C.; Skurvydas, A.; Lisinskiene, A.; Majauskiene, D.; Valanciene, D.; Cooper, S.; Lochbaum, M. Validation of a Lithuanian-language version of the Brunel Mood Scale: The BRUMS-LTU. Int. J. Environ. Res. Public Health 2022, 19, 4867. https://doi.org/10.3390/ijerph19084867.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7. </w:t>
      </w:r>
      <w:r>
        <w:rPr>
          <w:rFonts w:ascii="Palatino Linotype" w:hAnsi="Palatino Linotype"/>
          <w:sz w:val="17"/>
        </w:rPr>
        <w:t>Rohlfs, I.C.P.M.; Rotta, T.M.; Luft, C.D.B.; Andrade, A.; Krebs, R.J.; Carvalho, T. A Escala de Humor de Brunel (BRUMS): Instrumento para detecção precoce da síndrome do excesso de treinamento. Rev. Bras. Med. Esporte 2008, 14, 176–181.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8. </w:t>
      </w:r>
      <w:r>
        <w:rPr>
          <w:rFonts w:ascii="Palatino Linotype" w:hAnsi="Palatino Linotype"/>
          <w:sz w:val="17"/>
        </w:rPr>
        <w:t>Morgan, W.P. Selected psychological factors limiting performance: A mental health model. In Limits of Human Performance; Clarke, D.H., Eckert, H.M., Eds.; Human Kinetics: Champaign, IL, USA, 1985; pp. 70–80.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9. </w:t>
      </w:r>
      <w:r>
        <w:rPr>
          <w:rFonts w:ascii="Palatino Linotype" w:hAnsi="Palatino Linotype"/>
          <w:sz w:val="17"/>
        </w:rPr>
        <w:t>Parsons-Smith, R.L.; Terry, P.C.; Machin, M.A. Identification and description of novel mood profile clusters. Front. Psychol. 2017, 8, 1958. https://doi.org/10.3389/fpsyg.2017.01958.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10. </w:t>
      </w:r>
      <w:r>
        <w:rPr>
          <w:rFonts w:ascii="Palatino Linotype" w:hAnsi="Palatino Linotype"/>
          <w:sz w:val="17"/>
        </w:rPr>
        <w:t>Luojumäki, R.J.; Ruiz, M.C.; Adie, J.M.; Terry, P.C. Exploring mood profile clusters across physical activity level, gender and age in a Finnish population. Eur. J. Sport Sci. 2026, 26, e70131. https://doi.org/10.1002/ejsc.70131.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11. </w:t>
      </w:r>
      <w:r>
        <w:rPr>
          <w:rFonts w:ascii="Palatino Linotype" w:hAnsi="Palatino Linotype"/>
          <w:sz w:val="17"/>
        </w:rPr>
        <w:t>Terry, P.C.; Parsons-Smith, R.L.; Terry, V.R. Mood profiling for sustainable mental health among athletes. Sustainability 2021, 13, 6116. https://doi.org/10.3390/su13116116.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12. </w:t>
      </w:r>
      <w:r>
        <w:rPr>
          <w:rFonts w:ascii="Palatino Linotype" w:hAnsi="Palatino Linotype"/>
          <w:sz w:val="17"/>
        </w:rPr>
        <w:t>Han, C.; Parsons-Smith, R.L.; Terry, P.C. Mood profiling in Singapore: Cross-cultural validation and potential applications of mood profile clusters. Front. Psychol. 2020, 11, 665. https://doi.org/10.3389/fpsyg.2020.00665.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13. </w:t>
      </w:r>
      <w:r>
        <w:rPr>
          <w:rFonts w:ascii="Palatino Linotype" w:hAnsi="Palatino Linotype"/>
          <w:sz w:val="17"/>
        </w:rPr>
        <w:t>Lew, P.C.F.; Parsons-Smith, R.L.; Lamont-Mills, A.; Terry, P.C. Cross-cultural validation of the Malaysian Mood Scale and tests of between-group mood differences. Int. J. Environ. Res. Public Health 2023, 20, 3348. https://doi.org/10.3390/ijerph20043348.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14. </w:t>
      </w:r>
      <w:r>
        <w:rPr>
          <w:rFonts w:ascii="Palatino Linotype" w:hAnsi="Palatino Linotype"/>
          <w:sz w:val="17"/>
        </w:rPr>
        <w:t>Ferreira, A.B.M.; Halson, S.; Galvão-Coelho, N.L.; Almeida, R.N.; Nakamura, F.Y.; Mortatti, A.L. Impact of sleep restriction and intensified training on mucosal immunity and psychological responses in young soccer players. J. Strength Cond. Res. 2026, 40, e703–e713. https://doi.org/10.1519/JSC.0000000000005416.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15. </w:t>
      </w:r>
      <w:r>
        <w:rPr>
          <w:rFonts w:ascii="Palatino Linotype" w:hAnsi="Palatino Linotype"/>
          <w:sz w:val="17"/>
        </w:rPr>
        <w:t>Pierce, E.F. Relationship between training volume and mood states in competitive swimmers during a 24-week season. Percept. Mot. Skills 2002, 94, 1009–1012. https://doi.org/10.2466/pms.2002.94.3.1009.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16. </w:t>
      </w:r>
      <w:r>
        <w:rPr>
          <w:rFonts w:ascii="Palatino Linotype" w:hAnsi="Palatino Linotype"/>
          <w:sz w:val="17"/>
        </w:rPr>
        <w:t>do Nascimento, M.H.; et al. Acute psychological responses to official match outcomes in male youth volleyball: An observational repeated-measures study within a single national-level team. Front. Psychol. 2026, 17, 1826372. https://doi.org/10.3389/fpsyg.2026.1826372.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17. </w:t>
      </w:r>
      <w:r>
        <w:rPr>
          <w:rFonts w:ascii="Palatino Linotype" w:hAnsi="Palatino Linotype"/>
          <w:sz w:val="17"/>
        </w:rPr>
        <w:t>Roete, A.J.; Elferink-Gemser, M.T.; Otter, R.T.A.; Stoter, I.K.; Lamberts, R.P. A systematic review on markers of functional overreaching in endurance athletes. Int. J. Sports Physiol. Perform. 2021, 16, 1065–1073. https://doi.org/10.1123/ijspp.2021-0024.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18. </w:t>
      </w:r>
      <w:r>
        <w:rPr>
          <w:rFonts w:ascii="Palatino Linotype" w:hAnsi="Palatino Linotype"/>
          <w:sz w:val="17"/>
        </w:rPr>
        <w:t>la Torre, M.E.; Monda, A.; Messina, A.; de Stefano, M.I.; Monda, V.; Moscatelli, F.; Tafuri, F.; Saraiello, E.; Latino, F.; Monda, M.; et al. The potential role of nutrition in overtraining syndrome: A narrative review. Nutrients 2023, 15, 4916. https://doi.org/10.3390/nu15234916.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19. </w:t>
      </w:r>
      <w:r>
        <w:rPr>
          <w:rFonts w:ascii="Palatino Linotype" w:hAnsi="Palatino Linotype"/>
          <w:sz w:val="17"/>
        </w:rPr>
        <w:t>Mănescu, D.C.; Voinea, A.; Plastoi, C.D.; Iacobini, A.R.; Vulpe, A.A.; Pîrvan, A.; Dinciu, C.C.; Vulpe, B.I.; Băltărețu, C.; Iacobini, A. Molecular biomarkers of training responses: A systems framework for exercise adaptation and athlete monitoring. Int. J. Mol. Sci. 2026, 27, 3601. https://doi.org/10.3390/ijms27083601.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20. </w:t>
      </w:r>
      <w:r>
        <w:rPr>
          <w:rFonts w:ascii="Palatino Linotype" w:hAnsi="Palatino Linotype"/>
          <w:sz w:val="17"/>
        </w:rPr>
        <w:t>Thorpe, R.T.; Atkinson, G.; Drust, B.; Gregson, W. Monitoring fatigue status in elite team-sport athletes: Implications for practice. Int. J. Sports Physiol. Perform. 2017, 12, S227–S234. https://doi.org/10.1123/ijspp.2016-0434.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21. </w:t>
      </w:r>
      <w:r>
        <w:rPr>
          <w:rFonts w:ascii="Palatino Linotype" w:hAnsi="Palatino Linotype"/>
          <w:sz w:val="17"/>
        </w:rPr>
        <w:t>Karcher, C.; Buchheit, M. On-court demands of elite handball, with special reference to playing positions. Sports Med. 2014, 44, 797–814. https://doi.org/10.1007/s40279-014-0164-z.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22. </w:t>
      </w:r>
      <w:r>
        <w:rPr>
          <w:rFonts w:ascii="Palatino Linotype" w:hAnsi="Palatino Linotype"/>
          <w:sz w:val="17"/>
        </w:rPr>
        <w:t>García-Sánchez, C.; Navarro, R.M.; Karcher, C.; de la Rubia, A. Physical demands during official competitions in elite handball: A systematic review. Int. J. Environ. Res. Public Health 2023, 20, 3353. https://doi.org/10.3390/ijerph20043353.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23. </w:t>
      </w:r>
      <w:r>
        <w:rPr>
          <w:rFonts w:ascii="Palatino Linotype" w:hAnsi="Palatino Linotype"/>
          <w:sz w:val="17"/>
        </w:rPr>
        <w:t>Carton-Llorente, A.; Lozano, D.; Gilart Iglesias, V.; Jorquera, D.M.; Manchado, C. Worst-case scenario analysis of physical demands in elite men handball players by playing position through big data analytics. Biol. Sport 2023, 40, 1219–1227. https://doi.org/10.5114/biolsport.2023.126665.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24. </w:t>
      </w:r>
      <w:r>
        <w:rPr>
          <w:rFonts w:ascii="Palatino Linotype" w:hAnsi="Palatino Linotype"/>
          <w:sz w:val="17"/>
        </w:rPr>
        <w:t>Struzik, A.; Nadobnik, J.; Stępień-Słodkowska, M. TRIMP and session-RPE monitoring in elite women’s handball: A full-season descriptive analysis. Sci. Rep. 2026, 16, 53134. https://doi.org/10.1038/s41598-026-53134-x.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25. </w:t>
      </w:r>
      <w:r>
        <w:rPr>
          <w:rFonts w:ascii="Palatino Linotype" w:hAnsi="Palatino Linotype"/>
          <w:sz w:val="17"/>
        </w:rPr>
        <w:t>Staiano, W.; Sternberg, L.M.; Ferri-Caruana, A.; Salazar-Bonet, L.R.; Romagnoli, M.; Henriksen, K.; Kirk, U. Overcoming mental fatigue through mindfulness: Improving physical and cognitive performance in elite handball players. J. Sci. Med. Sport 2025, 29, 91–99. https://doi.org/10.1016/j.jsams.2025.08.004.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26. </w:t>
      </w:r>
      <w:r>
        <w:rPr>
          <w:rFonts w:ascii="Palatino Linotype" w:hAnsi="Palatino Linotype"/>
          <w:sz w:val="17"/>
        </w:rPr>
        <w:t>de Miranda Rohlfs, I.C.P.; et al. Prevalence of specific mood profile clusters among elite and youth athletes at a Brazilian sports club. Sports 2024, 12, 195. https://doi.org/10.3390/sports12070195.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27. </w:t>
      </w:r>
      <w:r>
        <w:rPr>
          <w:rFonts w:ascii="Palatino Linotype" w:hAnsi="Palatino Linotype"/>
          <w:sz w:val="17"/>
        </w:rPr>
        <w:t>Bird, S.P.; Hawley, C.; Cavallerio, F.; Hobbs, M.; Sáez de Villarreal, E. Wellness, mood, sleep, and performance in a women’s national basketball team during international competition. J. Hum. Kinet. 2025, 96, 163–175. https://doi.org/10.5114/jhk/200117.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28. </w:t>
      </w:r>
      <w:r>
        <w:rPr>
          <w:rFonts w:ascii="Palatino Linotype" w:hAnsi="Palatino Linotype"/>
          <w:sz w:val="17"/>
        </w:rPr>
        <w:t>Ratz-Sulyok, F.Z.; et al. Associations between endocrine status and stress, mood and psychosomatic status in elite handball players. Sports 2026, 14, 289. https://doi.org/10.3390/sports14070289.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29. </w:t>
      </w:r>
      <w:r>
        <w:rPr>
          <w:rFonts w:ascii="Palatino Linotype" w:hAnsi="Palatino Linotype"/>
          <w:sz w:val="17"/>
        </w:rPr>
        <w:t>Rohlfs, I.C.P.M.; et al. Psychometric characteristics of the Brazil Mood Scale among youth and elite athletes using two response time frames. Sports 2023, 11, 244. https://doi.org/10.3390/sports11120244.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30. </w:t>
      </w:r>
      <w:r>
        <w:rPr>
          <w:rFonts w:ascii="Palatino Linotype" w:hAnsi="Palatino Linotype"/>
          <w:sz w:val="17"/>
        </w:rPr>
        <w:t>Ostapiuk-Karolczuk, J.; et al. Biochemical and psychological markers of fatigue and recovery in mixed martial arts athletes during strength and conditioning training. Sci. Rep. 2025, 15, 24234. https://doi.org/10.1038/s41598-025-09719-z.</w:t>
      </w:r>
    </w:p>
    <w:p>
      <w:pPr>
        <w:spacing w:before="240" w:after="60" w:line="276" w:lineRule="auto"/>
      </w:pPr>
      <w:r>
        <w:rPr>
          <w:rFonts w:ascii="Palatino Linotype" w:hAnsi="Palatino Linotype"/>
          <w:b/>
          <w:sz w:val="20"/>
        </w:rPr>
        <w:t>Material Suplementar</w:t>
      </w:r>
    </w:p>
    <w:p>
      <w:pPr>
        <w:spacing w:line="276" w:lineRule="auto" w:after="8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As figuras a seguir complementam os resultados do corpo do artigo e detalham a distribuição diária, a resposta aguda pré e pós-treino, as comparações par a par, a análise por derivadas e o ajuste polinomial das trajetórias.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3076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3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S1. </w:t>
      </w:r>
      <w:r>
        <w:rPr>
          <w:rFonts w:ascii="Palatino Linotype" w:hAnsi="Palatino Linotype"/>
          <w:sz w:val="18"/>
        </w:rPr>
        <w:t>Diagramas de caixa das seis dimensões do BRUMS por dia do microciclo (áreas sombreadas: início e acúmulo da semana).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9483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signif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94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S2. </w:t>
      </w:r>
      <w:r>
        <w:rPr>
          <w:rFonts w:ascii="Palatino Linotype" w:hAnsi="Palatino Linotype"/>
          <w:sz w:val="18"/>
        </w:rPr>
        <w:t>Perturbação total do humor (PTH) no Dia 1, no Dia 4 e no Dia 7, com as comparações par a par (teste de Mann-Whitney; * p &lt; 0,05; ** p &lt; 0,01; ns = não significativo).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84657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_viol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4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S3. </w:t>
      </w:r>
      <w:r>
        <w:rPr>
          <w:rFonts w:ascii="Palatino Linotype" w:hAnsi="Palatino Linotype"/>
          <w:sz w:val="18"/>
        </w:rPr>
        <w:t>Distribuição da PTH por dia (diagramas de violino com caixa e média; a escala foi ajustada à faixa central da distribuição para facilitar a leitura).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67428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_ecdf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S4. </w:t>
      </w:r>
      <w:r>
        <w:rPr>
          <w:rFonts w:ascii="Palatino Linotype" w:hAnsi="Palatino Linotype"/>
          <w:sz w:val="18"/>
        </w:rPr>
        <w:t>Distribuição acumulada (ECDF) da PTH no Dia 1, no Dia 4 e no Dia 7; o deslocamento das curvas para a direita indica o aumento da perturbação ao longo do microciclo.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6448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4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S5. </w:t>
      </w:r>
      <w:r>
        <w:rPr>
          <w:rFonts w:ascii="Palatino Linotype" w:hAnsi="Palatino Linotype"/>
          <w:sz w:val="18"/>
        </w:rPr>
        <w:t>Médias marginais diárias do vigor, da fadiga e da fadiga física, com comparação de todos os dias ao Dia 1 (* p &lt; 0,05).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88461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nt_f_prepo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8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S6. </w:t>
      </w:r>
      <w:r>
        <w:rPr>
          <w:rFonts w:ascii="Palatino Linotype" w:hAnsi="Palatino Linotype"/>
          <w:sz w:val="18"/>
        </w:rPr>
        <w:t>Escores de vigor, fadiga e perturbação total do humor no pré e no pós-treino, por dia.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519230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impac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19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S7. </w:t>
      </w:r>
      <w:r>
        <w:rPr>
          <w:rFonts w:ascii="Palatino Linotype" w:hAnsi="Palatino Linotype"/>
          <w:sz w:val="18"/>
        </w:rPr>
        <w:t>Análise por derivadas do eixo energia–fadiga. Em cada variável, o painel superior traz a curva suavizada com o máximo e o mínimo realçados em cápsulas de valor, e o painel inferior traz a segunda derivada (concavidade) com o cruzamento por zero destacado, que marca o ponto de inflexão da trajetória.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414923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ly_fi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149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S8. </w:t>
      </w:r>
      <w:r>
        <w:rPr>
          <w:rFonts w:ascii="Palatino Linotype" w:hAnsi="Palatino Linotype"/>
          <w:sz w:val="18"/>
        </w:rPr>
        <w:t>Ajuste polinomial de grau três das trajetórias do vigor, da fadiga e da PTH em duas resoluções: sobre as sete médias diárias (marcadores quadrados e linha cheia) e sobre os quatorze pontos pré e pós-treino, incluída a linha de base do primeiro dia (pontos translúcidos e linha tracejada). Cada painel traz a equação do ajuste diário, o R² de cada resolução e a inflexão analítica (raiz da segunda derivada, x = -b/3a).</w:t>
      </w:r>
    </w:p>
    <w:sectPr w:rsidR="00FC693F" w:rsidRPr="0006063C" w:rsidSect="00034616">
      <w:pgSz w:w="12240" w:h="15840"/>
      <w:pgMar w:top="1247" w:right="1077" w:bottom="113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Palatino Linotype" w:hAnsi="Palatino Linotype" w:eastAsia="Palatino Linotyp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