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6"/>
        </w:rPr>
        <w:t>AJUSTES, REGRESSÕES, LIMIARES E DERIVADAS COM O PICO DE VELOCIDADE DO T-CAR 2 COMO PARÂMETRO FISIOLÓGICO — COMPARAÇÃO COM O T-CAR 1</w:t>
      </w:r>
    </w:p>
    <w:p>
      <w:pPr>
        <w:spacing w:line="360" w:lineRule="auto" w:after="200" w:before="0"/>
        <w:ind w:firstLine="709"/>
        <w:jc w:val="both"/>
      </w:pPr>
      <w:r>
        <w:rPr>
          <w:sz w:val="22"/>
        </w:rPr>
        <w:t>Reexecução do arcabouço de modelagem (regressão linear, ajuste e normalização alométrica, limiar logístico/curva ROC e limites/derivadas por tercil) usando o pico de velocidade do T-CAR 2 (reteste) como parâmetro fisiológico, com o T-CAR 1 (teste inicial) como comparador. Desfechos: eixo energia–fadiga do BRUMS ao longo do microciclo de 7 dias (27 atletas).</w:t>
      </w:r>
    </w:p>
    <w:p>
      <w:pPr>
        <w:spacing w:before="240" w:after="120" w:line="360" w:lineRule="auto"/>
      </w:pPr>
      <w:r>
        <w:rPr>
          <w:b/>
          <w:sz w:val="24"/>
        </w:rPr>
        <w:t>Resumo</w:t>
      </w:r>
    </w:p>
    <w:p>
      <w:pPr>
        <w:spacing w:line="360" w:lineRule="auto" w:after="160" w:before="0"/>
        <w:ind w:firstLine="709"/>
        <w:jc w:val="both"/>
      </w:pPr>
      <w:r>
        <w:rPr>
          <w:sz w:val="24"/>
        </w:rPr>
        <w:t>Em TODAS as famílias de modelo, o PV do T-CAR 2 (aptidão pós-bloco) mostrou-se um parâmetro fisiológico MAIS FRACO e menos utilizável que o PV do T-CAR 1: a regressão da fadiga física semanal cai de ρ = -0,54 (T-CAR 1, p = 0,019) para ρ = -0,14 (T-CAR 2, n.s.); a curva ROC para o dia de fadiga alta cai de AUC = 0,69 (limiar equilibrado ≈ 14,9 km·h⁻¹) para AUC = 0,56 (limiar ≈ 16,7 km·h⁻¹, com especificidade insuficiente); o ajuste alométrico torna-se instável (expoente sem significado por associação quase nula); e a estratificação das derivadas por tercil deixa de ser monotônica. A conclusão é robusta e temporalmente coerente: o parâmetro fisiológico correto para modelar a fadiga e o humor DESTE microciclo é o T-CAR 1 (aptidão de entrada), não o T-CAR 2 (medido após o bloco de treino).</w:t>
      </w:r>
    </w:p>
    <w:p>
      <w:pPr>
        <w:spacing w:before="240" w:after="120" w:line="360" w:lineRule="auto"/>
      </w:pPr>
      <w:r>
        <w:rPr>
          <w:b/>
          <w:sz w:val="24"/>
        </w:rPr>
        <w:t>1. Regressões (desfecho semanal ~ PV)</w:t>
      </w:r>
    </w:p>
    <w:p>
      <w:pPr>
        <w:spacing w:before="200" w:after="60"/>
      </w:pPr>
      <w:r>
        <w:rPr>
          <w:sz w:val="22"/>
        </w:rPr>
        <w:t>Tabela 1 – Regressão do desfecho semanal sobre o PV (β / R² / ρ / p) — T-CAR 2 vs T-CAR 1 (n = 27)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Desfecho</w:t>
            </w:r>
          </w:p>
        </w:tc>
        <w:tc>
          <w:tcPr>
            <w:tcW w:type="dxa" w:w="317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T-CAR 2 (PV final)</w:t>
            </w:r>
          </w:p>
        </w:tc>
        <w:tc>
          <w:tcPr>
            <w:tcW w:type="dxa" w:w="317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T-CAR 1 (PV inicial)</w:t>
            </w:r>
          </w:p>
        </w:tc>
      </w:tr>
      <w:tr>
        <w:tc>
          <w:tcPr>
            <w:tcW w:type="dxa" w:w="204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Fadiga física</w:t>
            </w:r>
          </w:p>
        </w:tc>
        <w:tc>
          <w:tcPr>
            <w:tcW w:type="dxa" w:w="317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-0,26 / 0,03 / -0,14 / 0,374</w:t>
            </w:r>
          </w:p>
        </w:tc>
        <w:tc>
          <w:tcPr>
            <w:tcW w:type="dxa" w:w="317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-0,71 / 0,22 / -0,54 / 0,019</w:t>
            </w:r>
          </w:p>
        </w:tc>
      </w:tr>
      <w:tr>
        <w:tc>
          <w:tcPr>
            <w:tcW w:type="dxa" w:w="204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Vigor</w:t>
            </w:r>
          </w:p>
        </w:tc>
        <w:tc>
          <w:tcPr>
            <w:tcW w:type="dxa" w:w="317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+0,70 / 0,10 / +0,27 / 0,109</w:t>
            </w:r>
          </w:p>
        </w:tc>
        <w:tc>
          <w:tcPr>
            <w:tcW w:type="dxa" w:w="317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+0,95 / 0,17 / +0,48 / 0,042</w:t>
            </w:r>
          </w:p>
        </w:tc>
      </w:tr>
      <w:tr>
        <w:tc>
          <w:tcPr>
            <w:tcW w:type="dxa" w:w="204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Fadiga mental</w:t>
            </w:r>
          </w:p>
        </w:tc>
        <w:tc>
          <w:tcPr>
            <w:tcW w:type="dxa" w:w="317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+0,06 / 0,00 / +0,06 / 0,892</w:t>
            </w:r>
          </w:p>
        </w:tc>
        <w:tc>
          <w:tcPr>
            <w:tcW w:type="dxa" w:w="317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-0,30 / 0,02 / -0,26 / 0,528</w:t>
            </w:r>
          </w:p>
        </w:tc>
      </w:tr>
      <w:tr>
        <w:tc>
          <w:tcPr>
            <w:tcW w:type="dxa" w:w="204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PTH/TMD</w:t>
            </w:r>
          </w:p>
        </w:tc>
        <w:tc>
          <w:tcPr>
            <w:tcW w:type="dxa" w:w="317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-1,14 / 0,03 / -0,04 / 0,400</w:t>
            </w:r>
          </w:p>
        </w:tc>
        <w:tc>
          <w:tcPr>
            <w:tcW w:type="dxa" w:w="317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-1,71 / 0,06 / -0,28 / 0,239</w:t>
            </w:r>
          </w:p>
        </w:tc>
      </w:tr>
      <w:tr>
        <w:tc>
          <w:tcPr>
            <w:tcW w:type="dxa" w:w="204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Fadiga (BRUMS)</w:t>
            </w:r>
          </w:p>
        </w:tc>
        <w:tc>
          <w:tcPr>
            <w:tcW w:type="dxa" w:w="317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-0,50 / 0,03 / -0,11 / 0,369</w:t>
            </w:r>
          </w:p>
        </w:tc>
        <w:tc>
          <w:tcPr>
            <w:tcW w:type="dxa" w:w="317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-0,98 / 0,11 / -0,39 / 0,105</w:t>
            </w:r>
          </w:p>
        </w:tc>
      </w:tr>
    </w:tbl>
    <w:p>
      <w:pPr>
        <w:spacing w:after="160"/>
      </w:pPr>
      <w:r>
        <w:rPr>
          <w:sz w:val="20"/>
        </w:rPr>
        <w:t>Fonte: os autores (2026).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Para todos os desfechos, o T-CAR 1 produz coeficientes maiores e significativos (fadiga física ρ = -0,54, p = 0,019; vigor ρ = +0,48, p = 0,042), enquanto o T-CAR 2 fica fraco e não significativo (fadiga física ρ = -0,14; vigor ρ = +0,27). O sinal permanece na direção esperada (mais aptidão → menos fadiga, mais vigor), mas a magnitude cai à metade ou menos com o T-CAR 2.</w:t>
      </w:r>
    </w:p>
    <w:p>
      <w:pPr>
        <w:spacing w:before="240" w:after="120" w:line="360" w:lineRule="auto"/>
      </w:pPr>
      <w:r>
        <w:rPr>
          <w:b/>
          <w:sz w:val="24"/>
        </w:rPr>
        <w:t>2. Ajuste e normalização alométrica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No ajuste alométrico Y = a·PVᵇ da fadiga física sobre o PV do T-CAR 2, o expoente resultou b = -0,37 com R² = 0,01 (p = 0,698) — estatisticamente instável e sem significado prático, porque o PV final praticamente não se correlaciona com a fadiga. A normalização (fadiga/PVᵇ) reduz uma correlação que já é quase nula (ρ -0,14 → -0,08), sem informação útil. Em contraste, no T-CAR 1 a normalização pelo PV removeu de fato o confundimento da aptidão (ρ da fadiga física de −0,52 para −0,19, conforme o manuscrito principal). Ou seja, o descritor que faz o escalonamento alométrico funcionar é o PV de entrada (T-CAR 1), não o PV pós-bloco.</w:t>
      </w:r>
    </w:p>
    <w:p>
      <w:pPr>
        <w:spacing w:before="240" w:after="120" w:line="360" w:lineRule="auto"/>
      </w:pPr>
      <w:r>
        <w:rPr>
          <w:b/>
          <w:sz w:val="24"/>
        </w:rPr>
        <w:t>3. Limiar logístico e curva ROC (dia de fadiga alta)</w:t>
      </w:r>
    </w:p>
    <w:p>
      <w:pPr>
        <w:spacing w:before="200" w:after="60"/>
      </w:pPr>
      <w:r>
        <w:rPr>
          <w:sz w:val="22"/>
        </w:rPr>
        <w:t>Tabela 2 – Limiar/ROC para classificar o dia de fadiga física alta — T-CAR 2 vs T-CAR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Métrica</w:t>
            </w:r>
          </w:p>
        </w:tc>
        <w:tc>
          <w:tcPr>
            <w:tcW w:type="dxa" w:w="221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T-CAR 2 (PV final)</w:t>
            </w:r>
          </w:p>
        </w:tc>
        <w:tc>
          <w:tcPr>
            <w:tcW w:type="dxa" w:w="221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T-CAR 1 (PV inicial)</w:t>
            </w:r>
          </w:p>
        </w:tc>
      </w:tr>
      <w:tr>
        <w:tc>
          <w:tcPr>
            <w:tcW w:type="dxa" w:w="28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AUC [IC95%]</w:t>
            </w:r>
          </w:p>
        </w:tc>
        <w:tc>
          <w:tcPr>
            <w:tcW w:type="dxa" w:w="221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0,56 [0,37–0,70]</w:t>
            </w:r>
          </w:p>
        </w:tc>
        <w:tc>
          <w:tcPr>
            <w:tcW w:type="dxa" w:w="221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0,69 [0,54–0,79]</w:t>
            </w:r>
          </w:p>
        </w:tc>
      </w:tr>
      <w:tr>
        <w:tc>
          <w:tcPr>
            <w:tcW w:type="dxa" w:w="28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Limiar de Youden (km·h⁻¹)</w:t>
            </w:r>
          </w:p>
        </w:tc>
        <w:tc>
          <w:tcPr>
            <w:tcW w:type="dxa" w:w="221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16,7</w:t>
            </w:r>
          </w:p>
        </w:tc>
        <w:tc>
          <w:tcPr>
            <w:tcW w:type="dxa" w:w="221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14,9</w:t>
            </w:r>
          </w:p>
        </w:tc>
      </w:tr>
      <w:tr>
        <w:tc>
          <w:tcPr>
            <w:tcW w:type="dxa" w:w="28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Sensibilidade / Especificidade</w:t>
            </w:r>
          </w:p>
        </w:tc>
        <w:tc>
          <w:tcPr>
            <w:tcW w:type="dxa" w:w="221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0,94 / 0,24</w:t>
            </w:r>
          </w:p>
        </w:tc>
        <w:tc>
          <w:tcPr>
            <w:tcW w:type="dxa" w:w="221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0,79 / 0,60</w:t>
            </w:r>
          </w:p>
        </w:tc>
      </w:tr>
      <w:tr>
        <w:tc>
          <w:tcPr>
            <w:tcW w:type="dxa" w:w="28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OR por km·h⁻¹</w:t>
            </w:r>
          </w:p>
        </w:tc>
        <w:tc>
          <w:tcPr>
            <w:tcW w:type="dxa" w:w="221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0,76</w:t>
            </w:r>
          </w:p>
        </w:tc>
        <w:tc>
          <w:tcPr>
            <w:tcW w:type="dxa" w:w="221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0,52</w:t>
            </w:r>
          </w:p>
        </w:tc>
      </w:tr>
      <w:tr>
        <w:tc>
          <w:tcPr>
            <w:tcW w:type="dxa" w:w="28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Kruskal por tercil (fad. física)</w:t>
            </w:r>
          </w:p>
        </w:tc>
        <w:tc>
          <w:tcPr>
            <w:tcW w:type="dxa" w:w="221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 = 0,162 (não monotônico)</w:t>
            </w:r>
          </w:p>
        </w:tc>
        <w:tc>
          <w:tcPr>
            <w:tcW w:type="dxa" w:w="221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— (referência)</w:t>
            </w:r>
          </w:p>
        </w:tc>
      </w:tr>
    </w:tbl>
    <w:p>
      <w:pPr>
        <w:spacing w:after="160"/>
      </w:pPr>
      <w:r>
        <w:rPr>
          <w:sz w:val="20"/>
        </w:rPr>
        <w:t>Fonte: os autores (2026).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O limiar do T-CAR 1 (≈ 14,9 km·h⁻¹) é equilibrado e utilizável (sensibilidade 0,79, especificidade 0,60), reproduzindo o ponto de corte já descrito no manuscrito. O do T-CAR 2 (≈ 16,7 km·h⁻¹) tem especificidade baixíssima (0,24), classificando quase todos como "de risco" — inútil na prática. Além disso, os tercis de PV do T-CAR 2 não ordenam a fadiga de forma monotônica (o tercil médio é o mais fatigado), enquanto no T-CAR 1 o tercil menos apto é o mais fatigado.</w:t>
      </w:r>
    </w:p>
    <w:p>
      <w:pPr>
        <w:spacing w:before="240" w:after="120" w:line="360" w:lineRule="auto"/>
      </w:pPr>
      <w:r>
        <w:rPr>
          <w:b/>
          <w:sz w:val="24"/>
        </w:rPr>
        <w:t>4. Limites e derivadas da trajetória (por tercil de PV)</w:t>
      </w:r>
    </w:p>
    <w:p>
      <w:pPr>
        <w:spacing w:before="200" w:after="60"/>
      </w:pPr>
      <w:r>
        <w:rPr>
          <w:sz w:val="22"/>
        </w:rPr>
        <w:t>Tabela 3 – Derivadas e limites da trajetória de fadiga física por tercil de PV do T-CAR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3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Tercil PV (T-CAR 2)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Dose (área)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Velocidade média</w:t>
            </w:r>
          </w:p>
        </w:tc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Ponto de inflexão (dia)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Amplitude</w:t>
            </w:r>
          </w:p>
        </w:tc>
      </w:tr>
      <w:tr>
        <w:tc>
          <w:tcPr>
            <w:tcW w:type="dxa" w:w="23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Baixo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34,7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+0,88</w:t>
            </w:r>
          </w:p>
        </w:tc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4,0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3,5</w:t>
            </w:r>
          </w:p>
        </w:tc>
      </w:tr>
      <w:tr>
        <w:tc>
          <w:tcPr>
            <w:tcW w:type="dxa" w:w="23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Médio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41,6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+0,67</w:t>
            </w:r>
          </w:p>
        </w:tc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4,7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3,4</w:t>
            </w:r>
          </w:p>
        </w:tc>
      </w:tr>
      <w:tr>
        <w:tc>
          <w:tcPr>
            <w:tcW w:type="dxa" w:w="23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Alto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32,2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+0,86</w:t>
            </w:r>
          </w:p>
        </w:tc>
        <w:tc>
          <w:tcPr>
            <w:tcW w:type="dxa" w:w="1928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4,1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3,4</w:t>
            </w:r>
          </w:p>
        </w:tc>
      </w:tr>
    </w:tbl>
    <w:p>
      <w:pPr>
        <w:spacing w:after="160"/>
      </w:pPr>
      <w:r>
        <w:rPr>
          <w:sz w:val="20"/>
        </w:rPr>
        <w:t>Fonte: os autores (2026).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Estratificando a trajetória pela aptidão do T-CAR 2, a dose acumulada de fadiga (área sob a curva), a velocidade de mudança, o ponto de inflexão (≈ dia 4, meio da semana) e a amplitude ficam praticamente indistinguíveis entre tercis — e não monotônicos (o tercil médio acumula a maior dose). Isto é, o PV do T-CAR 2 não organiza a dinâmica da fadiga. Com o PV do T-CAR 1, o tercil menos apto mantém a trajetória mais alta ao longo da semana (Figura 1D), coerente com o acoplamento aptidão–fadiga já demonstrado.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tcar2_mod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 – Comparação T-CAR 1 vs T-CAR 2 como parâmetro fisiológico. (A) A regressão semana × PV é mais forte com o T-CAR 1 em todos os desfechos. (B) A curva ROC para o dia de fadiga alta tem AUC e limiar utilizáveis apenas com o T-CAR 1. (C) Os tercis de PV do T-CAR 2 não separam a trajetória de fadiga. (D) Os tercis de PV do T-CAR 1 separam (o tercil menos apto, em vermelho, permanece mais fatigado).</w:t>
      </w:r>
    </w:p>
    <w:p>
      <w:pPr>
        <w:spacing w:after="160"/>
        <w:jc w:val="center"/>
      </w:pPr>
      <w:r>
        <w:rPr>
          <w:sz w:val="20"/>
        </w:rPr>
        <w:t>Fonte: os autores (2026).</w:t>
      </w:r>
    </w:p>
    <w:p>
      <w:pPr>
        <w:spacing w:before="240" w:after="120" w:line="360" w:lineRule="auto"/>
      </w:pPr>
      <w:r>
        <w:rPr>
          <w:b/>
          <w:sz w:val="24"/>
        </w:rPr>
        <w:t>5. Síntese e recomendação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Reexecutados os ajustes, regressões, limiares e derivadas com o PV do T-CAR 2 como parâmetro fisiológico, o resultado é consistente entre todas as abordagens: o T-CAR 2 enfraquece a regressão (ρ da fadiga física de -0,54 para -0,14), inviabiliza o ajuste alométrico (expoente instável), degrada o limiar/ROC (AUC de 0,69 para 0,56 e especificidade insuficiente) e não estratifica as derivadas. Recomenda-se, portanto, manter o PV do T-CAR 1 como o parâmetro fisiológico dos modelos do microciclo; o T-CAR 2 é apropriado como desfecho de adaptação (ganho de aptidão pós-bloco), não como preditor da fadiga e do humor desta semana. A explicação é temporal: a semana analisada é contemporânea à aptidão de entrada (T-CAR 1); o T-CAR 2 reflete um estado fisiológico posterior, medido após o bloco que também gerou o ganho de PV.</w:t>
      </w:r>
    </w:p>
    <w:p>
      <w:pPr>
        <w:spacing w:before="240" w:after="120" w:line="360" w:lineRule="auto"/>
      </w:pPr>
      <w:r>
        <w:rPr>
          <w:b/>
          <w:sz w:val="24"/>
        </w:rPr>
        <w:t>6. Limitações</w:t>
      </w:r>
    </w:p>
    <w:p>
      <w:pPr>
        <w:spacing w:line="360" w:lineRule="auto" w:after="120" w:before="0"/>
        <w:ind w:firstLine="709"/>
        <w:jc w:val="both"/>
      </w:pPr>
      <w:r>
        <w:rPr>
          <w:sz w:val="24"/>
        </w:rPr>
        <w:t>n = 27 (26 com PV final); o desfecho de fadiga tem efeito de piso; o limiar/ROC usa observações agrupadas por atleta (IC95% por bootstrap clusterizado). O ajuste alométrico exige desfecho estritamente positivo (aplicado à fadiga física; PTH/TMD, por assumir valores ≤ 0, não é escalável). Associações correlacionais.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