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0E8C86"/>
          <w:spacing w:val="40"/>
          <w:sz w:val="20"/>
          <w:szCs w:val="20"/>
        </w:rPr>
        <w:t xml:space="preserve">ARTIGO ORIGINAL · CIÊNCIAS DO ESPORTE</w:t>
      </w:r>
    </w:p>
    <w:p>
      <w:pPr>
        <w:spacing w:after="160"/>
      </w:pPr>
      <w:r>
        <w:rPr>
          <w:b/>
          <w:bCs/>
          <w:color w:val="16273D"/>
          <w:sz w:val="34"/>
          <w:szCs w:val="34"/>
        </w:rPr>
        <w:t xml:space="preserve">Monitoramento psicométrico do humor e da fadiga em atletas de handebol de elite durante um microciclo com treinamento intervalado de alta intensidade (HIIT): resposta de estado, individualidade e desacoplamento da carga interna</w:t>
      </w:r>
    </w:p>
    <w:p>
      <w:pPr>
        <w:spacing w:after="60"/>
      </w:pPr>
      <w:r>
        <w:rPr>
          <w:i/>
          <w:iCs/>
          <w:color w:val="5B6B82"/>
          <w:sz w:val="22"/>
          <w:szCs w:val="22"/>
        </w:rPr>
        <w:t xml:space="preserve">Psychometric monitoring of mood and fatigue in elite handball athletes across a high-intensity interval training (HIIT) microcycle: a state response, individuality, and internal-load decoupling</w:t>
      </w:r>
    </w:p>
    <w:p>
      <w:pPr>
        <w:spacing w:after="60" w:before="200"/>
      </w:pPr>
      <w:r>
        <w:rPr>
          <w:b/>
          <w:bCs/>
          <w:sz w:val="20"/>
          <w:szCs w:val="20"/>
        </w:rPr>
        <w:t xml:space="preserve">Título resumido (running head): </w:t>
      </w:r>
      <w:r>
        <w:rPr>
          <w:sz w:val="20"/>
          <w:szCs w:val="20"/>
        </w:rPr>
        <w:t xml:space="preserve">Humor, fadiga e HIIT no handebol</w:t>
      </w:r>
    </w:p>
    <w:p>
      <w:pPr>
        <w:spacing w:after="60"/>
      </w:pPr>
      <w:r>
        <w:rPr>
          <w:b/>
          <w:bCs/>
          <w:sz w:val="20"/>
          <w:szCs w:val="20"/>
        </w:rPr>
        <w:t xml:space="preserve">Autoria: </w:t>
      </w:r>
      <w:r>
        <w:rPr>
          <w:color w:val="5B6B82"/>
          <w:sz w:val="20"/>
          <w:szCs w:val="20"/>
        </w:rPr>
        <w:t xml:space="preserve">[Autor(es)] · [Afiliação(ões)] · [Autor correspondente e e-mail]</w:t>
      </w:r>
    </w:p>
    <w:p>
      <w:pPr>
        <w:spacing w:after="60"/>
      </w:pPr>
      <w:r>
        <w:rPr>
          <w:b/>
          <w:bCs/>
          <w:sz w:val="20"/>
          <w:szCs w:val="20"/>
        </w:rPr>
        <w:t xml:space="preserve">Financiamento e conflitos de interesse: </w:t>
      </w:r>
      <w:r>
        <w:rPr>
          <w:color w:val="5B6B82"/>
          <w:sz w:val="20"/>
          <w:szCs w:val="20"/>
        </w:rPr>
        <w:t xml:space="preserve">[a declarar]. </w:t>
      </w:r>
      <w:r>
        <w:rPr>
          <w:b/>
          <w:bCs/>
          <w:sz w:val="20"/>
          <w:szCs w:val="20"/>
        </w:rPr>
        <w:t xml:space="preserve">Aprovação ética: </w:t>
      </w:r>
      <w:r>
        <w:rPr>
          <w:color w:val="5B6B82"/>
          <w:sz w:val="20"/>
          <w:szCs w:val="20"/>
        </w:rPr>
        <w:t xml:space="preserve">[nº do parecer do CEP].</w:t>
      </w:r>
    </w:p>
    <w:p>
      <w:pPr>
        <w:spacing w:after="60"/>
      </w:pPr>
      <w:r>
        <w:rPr>
          <w:b/>
          <w:bCs/>
          <w:sz w:val="20"/>
          <w:szCs w:val="20"/>
        </w:rPr>
        <w:t xml:space="preserve">Dados e reprodutibilidade: </w:t>
      </w:r>
      <w:r>
        <w:rPr>
          <w:sz w:val="20"/>
          <w:szCs w:val="20"/>
        </w:rPr>
        <w:t xml:space="preserve">atletas anonimizados (A01–A27); todos os valores reproduzidos por código a partir da coleta bruta; bases identificáveis não versionadas.</w:t>
      </w:r>
    </w:p>
    <w:p>
      <w:r>
        <w:br w:type="page"/>
      </w:r>
    </w:p>
    <w:p>
      <w:pPr>
        <w:pStyle w:val="Heading1"/>
        <w:spacing w:after="120" w:before="280"/>
      </w:pPr>
      <w:r>
        <w:t xml:space="preserve">Resumo</w:t>
      </w:r>
    </w:p>
    <w:p>
      <w:pPr>
        <w:spacing w:after="140" w:before="0" w:line="300"/>
        <w:jc w:val="both"/>
      </w:pPr>
      <w:r>
        <w:rPr>
          <w:b/>
          <w:bCs/>
        </w:rPr>
        <w:t xml:space="preserve">Objetivo. </w:t>
      </w:r>
      <w:r>
        <w:t xml:space="preserve">Caracterizar como o perfil de humor (Escala de Humor de Brunel, BRUMS) de atletas de handebol de elite responde a um microciclo com HIIT — em magnitude, dimensões e confiabilidade de medida — e identificar quais variáveis melhor predizem um estado de fadiga, respeitando a estrutura de medidas repetidas. </w:t>
      </w:r>
      <w:r>
        <w:rPr>
          <w:b/>
          <w:bCs/>
        </w:rPr>
        <w:t xml:space="preserve">Método. </w:t>
      </w:r>
      <w:r>
        <w:t xml:space="preserve">Estudo observacional longitudinal; 27 atletas avaliados repetidamente (pré/pós-treino) por sete dias, com HIIT nos dias 2, 4 e 7 (456 observações; 135 pares pré→pós). Inferência com o atleta como unidade (modelos mistos; FDR), tamanhos de efeito intra-sujeito (dz), bootstrap agrupado por atleta, psicometria (α, ω, AFC, AFE, TRI), invariância configural→estrita/parcial, ROC e validação preditiva leave-one-athlete-out. </w:t>
      </w:r>
      <w:r>
        <w:rPr>
          <w:b/>
          <w:bCs/>
        </w:rPr>
        <w:t xml:space="preserve">Resultados. </w:t>
      </w:r>
      <w:r>
        <w:t xml:space="preserve">A resposta concentra-se no eixo energia–fadiga (fadiga física dz 1,06; PTH dz 0,68; vigor dz -0,56); as subescalas negativas com efeito piso não respondem. A medida é confiável e invariante pré→pós (Tucker φ 0,99; ΔCFI métrico -0,004). A fadiga física é o marcador mais sensível para o estado de fadiga (AUC 0,90); fadiga mental e depressão são sensíveis e confiáveis. A carga interna não prediz o humor (nenhum par sobrevive à FDR; TRIMP×ΔPTH r = -0,32). </w:t>
      </w:r>
      <w:r>
        <w:rPr>
          <w:b/>
          <w:bCs/>
        </w:rPr>
        <w:t xml:space="preserve">Conclusão. </w:t>
      </w:r>
      <w:r>
        <w:t xml:space="preserve">A resposta de humor é real, de estado (não artefato de medida), fortemente individual e não redutível ao custo cardiovascular; o monitoramento eficiente combina a fadiga física (sensibilidade) e a fadiga mental/depressão (confiabilidade).</w:t>
      </w:r>
    </w:p>
    <w:p>
      <w:pPr>
        <w:spacing w:after="140" w:before="0" w:line="300"/>
        <w:jc w:val="both"/>
      </w:pPr>
      <w:r>
        <w:rPr>
          <w:b/>
          <w:bCs/>
        </w:rPr>
        <w:t xml:space="preserve">Palavras-chave: </w:t>
      </w:r>
      <w:r>
        <w:t xml:space="preserve">humor; fadiga; treinamento intervalado de alta intensidade; handebol; psicometria; medidas repetidas.</w:t>
      </w:r>
    </w:p>
    <w:p>
      <w:pPr>
        <w:pStyle w:val="Heading1"/>
        <w:spacing w:after="120" w:before="280"/>
      </w:pPr>
      <w:r>
        <w:t xml:space="preserve">Abstract</w:t>
      </w:r>
    </w:p>
    <w:p>
      <w:pPr>
        <w:spacing w:after="140" w:before="0" w:line="300"/>
        <w:jc w:val="both"/>
      </w:pPr>
      <w:r>
        <w:rPr>
          <w:b/>
          <w:bCs/>
        </w:rPr>
        <w:t xml:space="preserve">Objective. </w:t>
      </w:r>
      <w:r>
        <w:t xml:space="preserve">To characterise how the mood profile (Brunel Mood Scale, BRUMS) of elite handball athletes responds to a HIIT microcycle — in magnitude, dimensions and measurement reliability — and to identify which variables best predict a fatigue state, while respecting the repeated-measures structure. </w:t>
      </w:r>
      <w:r>
        <w:rPr>
          <w:b/>
          <w:bCs/>
        </w:rPr>
        <w:t xml:space="preserve">Methods. </w:t>
      </w:r>
      <w:r>
        <w:t xml:space="preserve">Longitudinal observational study; 27 athletes assessed repeatedly (pre/post) over seven days with HIIT on days 2, 4 and 7 (456 observations; 135 pre→post pairs). Analyses used the athlete as the unit (mixed models; FDR), within-subject effect sizes (dz), athlete-clustered bootstrap, psychometrics (α, ω, CFA, EFA, IRT), configural→strict/partial invariance, ROC and leave-one-athlete-out prediction. </w:t>
      </w:r>
      <w:r>
        <w:rPr>
          <w:b/>
          <w:bCs/>
        </w:rPr>
        <w:t xml:space="preserve">Results. </w:t>
      </w:r>
      <w:r>
        <w:t xml:space="preserve">Responses concentrate on the energy–fatigue axis (physical fatigue dz 1,06; total mood disturbance dz 0,68; vigour dz -0,56); floor-effect negative subscales do not respond. The measure is reliable and invariant pre→post (Tucker's φ 0,99). Physical fatigue is the most sensitive fatigue-state marker (AUC 0,90); mental fatigue and depression are both sensitive and reliable. Internal load does not predict mood. </w:t>
      </w:r>
      <w:r>
        <w:rPr>
          <w:b/>
          <w:bCs/>
        </w:rPr>
        <w:t xml:space="preserve">Conclusion. </w:t>
      </w:r>
      <w:r>
        <w:t xml:space="preserve">The mood response is a genuine state shift, strongly individual and not reducible to cardiovascular cost; efficient monitoring combines physical fatigue (sensitivity) with mental fatigue/depression (reliability).</w:t>
      </w:r>
    </w:p>
    <w:p>
      <w:pPr>
        <w:spacing w:after="140" w:before="0" w:line="300"/>
        <w:jc w:val="both"/>
      </w:pPr>
      <w:r>
        <w:rPr>
          <w:b/>
          <w:bCs/>
        </w:rPr>
        <w:t xml:space="preserve">Keywords: </w:t>
      </w:r>
      <w:r>
        <w:t xml:space="preserve">mood; fatigue; high-intensity interval training; handball; psychometrics; repeated measures.</w:t>
      </w:r>
    </w:p>
    <w:p>
      <w:r>
        <w:br w:type="page"/>
      </w:r>
    </w:p>
    <w:p>
      <w:pPr>
        <w:pStyle w:val="Heading1"/>
        <w:spacing w:after="120" w:before="280"/>
      </w:pPr>
      <w:r>
        <w:t xml:space="preserve">1. Introdução</w:t>
      </w:r>
    </w:p>
    <w:p>
      <w:pPr>
        <w:spacing w:after="140" w:before="0" w:line="300"/>
        <w:jc w:val="both"/>
      </w:pPr>
      <w:r>
        <w:t xml:space="preserve">O handebol é uma modalidade coletiva olímpica de caráter intermitente, que combina esforços de alta intensidade — sprints, saltos, arremessos, mudanças de direção e contatos físicos — com períodos de recuperação incompleta ao longo de aproximadamente 60 minutos de jogo. As análises de partida em atletas de elite mostram distâncias percorridas da ordem de 4–5 km, com solicitação simultânea dos sistemas aeróbio e anaeróbio e centenas de mudanças de atividade por jogo (Michalsik &amp; Aagaard, 2014). Essas demandas, somadas a calendários competitivos congestionados, tornam a gestão da carga de treinamento e da recuperação um determinante direto do desempenho e da saúde do atleta.</w:t>
      </w:r>
    </w:p>
    <w:p>
      <w:pPr>
        <w:spacing w:after="140" w:before="0" w:line="300"/>
        <w:jc w:val="both"/>
      </w:pPr>
      <w:r>
        <w:t xml:space="preserve">Para desenvolver a capacidade intermitente que a modalidade exige, o treinamento intervalado de alta intensidade (HIIT) tornou-se uma ferramenta central. O HIIT consiste em séries repetidas de esforço de intensidade elevada intercaladas por recuperação e é um dos meios mais eficazes de melhorar a função cardiorrespiratória e metabólica; nos esportes coletivos, protocolos que mantêm o atleta próximo de ≥90% do consumo máximo de oxigênio (VO₂máx) maximizam as adaptações centrais e periféricas (Buchheit &amp; Laursen, 2013). Esse ganho, contudo, tem um custo interno elevado: o HIIT impõe grande carga cardiovascular, glicolítica e neuromuscular, cuja acumulação, se não monitorada, pode evoluir para fadiga excessiva e desajuste de treinamento.</w:t>
      </w:r>
    </w:p>
    <w:p>
      <w:pPr>
        <w:spacing w:after="140" w:before="0" w:line="300"/>
        <w:jc w:val="both"/>
      </w:pPr>
      <w:r>
        <w:t xml:space="preserve">É nesse ponto que o estado psicológico entra como sinalizador. O humor — estado afetivo difuso, com valência e ativação — é um marcador sensível da tolerância à carga: medidas subjetivas de humor e fadiga refletem a carga aguda e crônica com sensibilidade superior a marcadores objetivos como frequência cardíaca e marcadores bioquímicos (Saw, Main &amp; Gastin, 2016). A avaliação do humor no esporte consolidou-se com o Profile of Mood States (POMS) e seu descendente abreviado, a Escala de Humor de Brunel (BRUMS), que mensura seis dimensões (tensão, depressão, raiva, vigor, fadiga e confusão) e cujas propriedades psicométricas — incluindo invariância de medida — estão estabelecidas em diversas línguas e populações atléticas (Terry et al., 2022; Zhang et al., 2014). Em atletas saudáveis, o quadro típico é o "perfil iceberg" — vigor elevado sobre baixas dimensões negativas —, cuja erosão (queda de vigor e elevação de fadiga) sinaliza acúmulo de carga. A resposta afetiva ao exercício intenso, porém, não é trivial: protocolos intervalados podem inclusive reduzir tensão e depressão e produzir respostas afetivas positivas remanescentes, a depender da intensidade e do desenho da sessão (Marques et al., 2020; Patten et al., 2022).</w:t>
      </w:r>
    </w:p>
    <w:p>
      <w:pPr>
        <w:spacing w:after="140" w:before="0" w:line="300"/>
        <w:jc w:val="both"/>
      </w:pPr>
      <w:r>
        <w:t xml:space="preserve">Do amplo ao específico, portanto, o problema é: em uma modalidade de alta demanda intermitente (handebol), submetida a um estímulo potente e custoso (HIIT), como se comporta o perfil de humor ao longo de um microciclo — e o quanto esse comportamento pode ser medido de forma confiável? Interpretar esse monitoramento exige rigor psicométrico e métodos que respeitem a estrutura de medidas repetidas. Uma subescala pode "não responder" a um estímulo por dois motivos radicalmente diferentes: porque o fenômeno não ocorre, ou porque o instrumento não consegue medi-lo (efeito piso). Além disso, coletas repetidas do mesmo atleta são aninhadas; tratá-las como independentes (pseudorreplicação) infla a significância e distorce a inferência.</w:t>
      </w:r>
    </w:p>
    <w:p>
      <w:pPr>
        <w:pStyle w:val="Heading2"/>
        <w:spacing w:after="120" w:before="280"/>
      </w:pPr>
      <w:r>
        <w:t xml:space="preserve">1.1. Justificativa</w:t>
      </w:r>
    </w:p>
    <w:p>
      <w:pPr>
        <w:spacing w:after="140" w:before="0" w:line="300"/>
        <w:jc w:val="both"/>
      </w:pPr>
      <w:r>
        <w:t xml:space="preserve">Apesar do uso disseminado do BRUMS no esporte, três lacunas persistem na literatura aplicada. Primeiro, poucos estudos separam explicitamente a limitação de mensuração (efeito piso das subescalas negativas) da ausência real de efeito, o que pode levar a subestimar a validade do instrumento no eixo em que ele efetivamente discrimina. Segundo, a relação entre a carga interna objetiva (PSE, FC, TRIMP) e a resposta de humor raramente é testada no nível do atleta com controle de multiplicidade. Terceiro, falta uma caracterização de quais dimensões são simultaneamente sensíveis e confiáveis para sinalizar um estado de fadiga — informação diretamente acionável na periodização. Este estudo enfrenta as três lacunas com uma reanálise completa, reprodutível e metodologicamente disciplinada.</w:t>
      </w:r>
    </w:p>
    <w:p>
      <w:pPr>
        <w:pStyle w:val="Heading2"/>
        <w:spacing w:after="120" w:before="280"/>
      </w:pPr>
      <w:r>
        <w:t xml:space="preserve">1.2. Objetivos e hipóteses</w:t>
      </w:r>
    </w:p>
    <w:p>
      <w:pPr>
        <w:spacing w:after="140" w:before="0" w:line="300"/>
        <w:jc w:val="both"/>
      </w:pPr>
      <w:r>
        <w:rPr>
          <w:b/>
          <w:bCs/>
        </w:rPr>
        <w:t xml:space="preserve">Objetivo geral. </w:t>
      </w:r>
      <w:r>
        <w:t xml:space="preserve">Caracterizar a resposta do perfil de humor ao longo de um microciclo com HIIT e a confiabilidade dessa medida, e identificar os marcadores mais úteis para o monitoramento da fadiga.</w:t>
      </w:r>
    </w:p>
    <w:p>
      <w:pPr>
        <w:spacing w:after="140" w:before="0" w:line="300"/>
        <w:jc w:val="both"/>
      </w:pPr>
      <w:r>
        <w:rPr>
          <w:b/>
          <w:bCs/>
        </w:rPr>
        <w:t xml:space="preserve">Objetivos específicos. </w:t>
      </w:r>
      <w:r>
        <w:t xml:space="preserve">(a) descrever as distribuições, o efeito piso e a normalidade das variáveis; (b) quantificar a resposta aguda pré→pós por subescala (tamanho de efeito) e confirmá-la por permutação restrita; (c) modelar o acúmulo semanal com inclinações aleatórias por atleta e isolar o efeito dos dias de HIIT; (d) confirmar o achado no plano multivariado (Hotelling T², MANOVA, PERMANOVA) e bayesiano; (e) avaliar a qualidade da medida — confiabilidade (α, ω), AFC, AFE, TRI, validade discriminante (HTMT) — e a invariância pré→pós (configural→estrita/parcial); (f) mapear as correlações intra-sujeito (rm_corr) e a convergência com autorrelatos externos; (g) mensurar a capacidade diagnóstica (ROC de níveis e de derivadas) e a validação preditiva fora da amostra (leave-one-athlete-out); (h) caracterizar a velocidade de mudança (derivadas por variável e por atleta) e formalizá-la em cálculo (limites e derivadas); (i) segmentar os atletas por padrão de resposta e decompor a variância em traço vs. estado; (j) testar o acoplamento carga interna × humor e ranquear os preditores de estado de fadiga por sensibilidade e confiabilidade.</w:t>
      </w:r>
    </w:p>
    <w:p>
      <w:pPr>
        <w:spacing w:after="140" w:before="0" w:line="300"/>
        <w:jc w:val="both"/>
      </w:pPr>
      <w:r>
        <w:t xml:space="preserve">Hipóteses: (H1) o humor deteriora ao longo da semana, no eixo energia–fadiga; (H2) os dias de HIIT associam-se a mais fadiga, menos vigor e maior perturbação; (H3) as subescalas negativas têm efeito piso e baixa sensibilidade; (H4) a maior parte da variância é traço, tornando frágil a decisão isolada; (H5) o BRUMS é válido e invariante no eixo energia–fadiga, e a fragilidade das negativas é piso, não ausência.</w:t>
      </w:r>
    </w:p>
    <w:p>
      <w:r>
        <w:br w:type="page"/>
      </w:r>
    </w:p>
    <w:p>
      <w:pPr>
        <w:pStyle w:val="Heading1"/>
        <w:spacing w:after="120" w:before="280"/>
      </w:pPr>
      <w:r>
        <w:t xml:space="preserve">2. Método</w:t>
      </w:r>
    </w:p>
    <w:p>
      <w:pPr>
        <w:pStyle w:val="Heading2"/>
        <w:spacing w:after="120" w:before="280"/>
      </w:pPr>
      <w:r>
        <w:t xml:space="preserve">2.1. Delineamento e aspectos éticos</w:t>
      </w:r>
    </w:p>
    <w:p>
      <w:pPr>
        <w:spacing w:after="140" w:before="0" w:line="300"/>
        <w:jc w:val="both"/>
      </w:pPr>
      <w:r>
        <w:t xml:space="preserve">Estudo observacional longitudinal de medidas repetidas, conduzido em contexto ecológico de treinamento. O protocolo respeitou os princípios da Declaração de Helsinque; os participantes forneceram consentimento informado e o estudo foi aprovado pelo comitê de ética institucional [nº do parecer].</w:t>
      </w:r>
    </w:p>
    <w:p>
      <w:pPr>
        <w:pStyle w:val="Heading2"/>
        <w:spacing w:after="120" w:before="280"/>
      </w:pPr>
      <w:r>
        <w:t xml:space="preserve">2.2. Participantes</w:t>
      </w:r>
    </w:p>
    <w:p>
      <w:pPr>
        <w:spacing w:after="140" w:before="0" w:line="300"/>
        <w:jc w:val="both"/>
      </w:pPr>
      <w:r>
        <w:t xml:space="preserve">Vinte e sete atletas de handebol de elite foram acompanhados durante um microciclo de sete dias consecutivos, totalizando 456 observações e 135 pares pré→pós completos. Grafias divergentes de identificação foram normalizadas a 27 atletas e uma coleta fora da janela temporal foi excluída; os dados foram anonimizados (A01–A27).</w:t>
      </w:r>
    </w:p>
    <w:p>
      <w:pPr>
        <w:pStyle w:val="Heading2"/>
        <w:spacing w:after="120" w:before="280"/>
      </w:pPr>
      <w:r>
        <w:t xml:space="preserve">2.3. Instrumentos</w:t>
      </w:r>
    </w:p>
    <w:p>
      <w:pPr>
        <w:spacing w:after="140" w:before="0" w:line="300"/>
        <w:jc w:val="both"/>
      </w:pPr>
      <w:r>
        <w:rPr>
          <w:b/>
          <w:bCs/>
        </w:rPr>
        <w:t xml:space="preserve">Humor. </w:t>
      </w:r>
      <w:r>
        <w:t xml:space="preserve">Escala de Humor de Brunel (BRUMS), com as seis subescalas (tensão, depressão, raiva, vigor, fadiga e confusão) e o índice de Perturbação Total do Humor (PTH/TMD = soma das negativas − vigor). </w:t>
      </w:r>
      <w:r>
        <w:rPr>
          <w:b/>
          <w:bCs/>
        </w:rPr>
        <w:t xml:space="preserve">Autorrelatos complementares. </w:t>
      </w:r>
      <w:r>
        <w:t xml:space="preserve">Fadiga física (0–10), fadiga mental (0–10), estado físico (0–4) e estado mental (0–4). </w:t>
      </w:r>
      <w:r>
        <w:rPr>
          <w:b/>
          <w:bCs/>
        </w:rPr>
        <w:t xml:space="preserve">Carga interna. </w:t>
      </w:r>
      <w:r>
        <w:t xml:space="preserve">Esforço percebido da sessão (PSE; método de Foster) e carga por frequência cardíaca (TRIMP de Banister ponderado pela reserva de FC, %HRR).</w:t>
      </w:r>
    </w:p>
    <w:p>
      <w:pPr>
        <w:pStyle w:val="Heading2"/>
        <w:spacing w:after="120" w:before="280"/>
      </w:pPr>
      <w:r>
        <w:t xml:space="preserve">2.4. Protocolo do microciclo e do HIIT</w:t>
      </w:r>
    </w:p>
    <w:p>
      <w:pPr>
        <w:spacing w:after="140" w:before="0" w:line="300"/>
        <w:jc w:val="both"/>
      </w:pPr>
      <w:r>
        <w:t xml:space="preserve">O microciclo teve sete dias consecutivos, com sessões de HIIT nos dias 2, 4 e 7 e trabalho técnico-tático nos dias 1, 3, 5 e 6. Em cada dia, coletas pré e pós-treino permitiram separar a resposta aguda (pós − pré) do nível do dia e do acúmulo ao longo da semana.</w:t>
      </w:r>
    </w:p>
    <w:p>
      <w:pPr>
        <w:spacing w:after="140" w:before="0" w:line="300"/>
        <w:jc w:val="both"/>
      </w:pPr>
      <w:r>
        <w:rPr>
          <w:b/>
          <w:bCs/>
        </w:rPr>
        <w:t xml:space="preserve">Modelo do HIIT. </w:t>
      </w:r>
      <w:r>
        <w:t xml:space="preserve">Cada sessão de HIIT consistiu em 4 × 4 min a 104% da velocidade de pico (teste de campo), 3 min de intervalo. A intensidade-alvo foi ancorada em 104% da velocidade de pico obtida em um teste de campo incremental, isto é, um estímulo supramáximo em relação ao pico aeróbio, desenhado para manter o atleta em zona próxima ao VO₂máx durante os 4 minutos de esforço, com recuperação incompleta nos 3 minutos entre séries. A carga interna foi monitorada por frequência cardíaca em cada fase (aquecimento e quatro séries) e por PSE ao final, permitindo derivar a FC de recuperação (no início de cada série, após o intervalo), a FC média e a FC máxima das séries, além do humor (BRUMS) pré e pós-sessão.</w:t>
      </w:r>
    </w:p>
    <w:p>
      <w:pPr>
        <w:spacing w:after="140" w:before="0" w:line="300"/>
        <w:jc w:val="both"/>
      </w:pPr>
      <w:r>
        <w:t xml:space="preserve">A caracterização das sessões (Figura 1; Tabela 1) confirma a intensidade quase-máxima e progressiva: a FC ao fim das séries sobe do aquecimento (~158 bpm) ao pico (186 bpm), a FC média das quatro séries atinge 179 bpm e a FC de recuperação eleva-se ao longo da sessão (deriva cardiovascular, recuperação incompleta), enquanto a PSE chega a 9,9 (quase o teto da escala 0–10).</w:t>
      </w:r>
    </w:p>
    <w:p>
      <w:pPr>
        <w:spacing w:after="40" w:before="120"/>
        <w:jc w:val="center"/>
      </w:pPr>
      <w:r>
        <w:drawing>
          <wp:inline distT="0" distB="0" distL="0" distR="0">
            <wp:extent cx="58483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2295525"/>
                    </a:xfrm>
                    <a:prstGeom prst="rect">
                      <a:avLst/>
                    </a:prstGeom>
                  </pic:spPr>
                </pic:pic>
              </a:graphicData>
            </a:graphic>
          </wp:inline>
        </w:drawing>
      </w:r>
    </w:p>
    <w:p>
      <w:pPr>
        <w:spacing w:after="180" w:before="60"/>
      </w:pPr>
      <w:r>
        <w:rPr>
          <w:i/>
          <w:iCs/>
          <w:color w:val="5B6B82"/>
          <w:sz w:val="17"/>
          <w:szCs w:val="17"/>
        </w:rPr>
        <w:t xml:space="preserve">Figura 1. Caracterização do protocolo de HIIT (4 × 4 min a 104% da velocidade de pico, 3 min de intervalo): A — FC ao início (recuperação) e ao fim (pico) de cada série; B — PSE por fase; C — resumo da carga interna (FC máxima, média, de recuperação e PSE).</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5680"/>
        <w:gridCol w:w="3680"/>
      </w:tblGrid>
      <w:tr>
        <w:trPr>
          <w:tblHeader/>
        </w:trPr>
        <w:tc>
          <w:tcPr>
            <w:tcW w:type="dxa" w:w="5680"/>
            <w:shd w:fill="EAF1F7" w:color="auto" w:val="clear"/>
            <w:tcMar>
              <w:top w:type="dxa" w:w="40"/>
              <w:left w:type="dxa" w:w="90"/>
              <w:bottom w:type="dxa" w:w="40"/>
              <w:right w:type="dxa" w:w="90"/>
            </w:tcMar>
          </w:tcPr>
          <w:p>
            <w:pPr>
              <w:spacing w:after="0" w:line="240"/>
              <w:jc w:val="left"/>
            </w:pPr>
            <w:r>
              <w:rPr>
                <w:b/>
                <w:bCs/>
                <w:color w:val="16273D"/>
                <w:sz w:val="17"/>
                <w:szCs w:val="17"/>
              </w:rPr>
              <w:t xml:space="preserve">Métrica da sessão de HIIT</w:t>
            </w:r>
          </w:p>
        </w:tc>
        <w:tc>
          <w:tcPr>
            <w:tcW w:type="dxa" w:w="3680"/>
            <w:shd w:fill="EAF1F7" w:color="auto" w:val="clear"/>
            <w:tcMar>
              <w:top w:type="dxa" w:w="40"/>
              <w:left w:type="dxa" w:w="90"/>
              <w:bottom w:type="dxa" w:w="40"/>
              <w:right w:type="dxa" w:w="90"/>
            </w:tcMar>
          </w:tcPr>
          <w:p>
            <w:pPr>
              <w:spacing w:after="0" w:line="240"/>
              <w:jc w:val="right"/>
            </w:pPr>
            <w:r>
              <w:rPr>
                <w:b/>
                <w:bCs/>
                <w:color w:val="16273D"/>
                <w:sz w:val="17"/>
                <w:szCs w:val="17"/>
              </w:rPr>
              <w:t xml:space="preserve">Média ± DP</w:t>
            </w:r>
          </w:p>
        </w:tc>
      </w:tr>
      <w:tr>
        <w:tc>
          <w:tcPr>
            <w:tcW w:type="dxa" w:w="5680"/>
            <w:tcMar>
              <w:top w:type="dxa" w:w="40"/>
              <w:left w:type="dxa" w:w="90"/>
              <w:bottom w:type="dxa" w:w="40"/>
              <w:right w:type="dxa" w:w="90"/>
            </w:tcMar>
          </w:tcPr>
          <w:p>
            <w:pPr>
              <w:spacing w:after="0" w:line="240"/>
              <w:jc w:val="left"/>
            </w:pPr>
            <w:r>
              <w:rPr>
                <w:b w:val="false"/>
                <w:bCs w:val="false"/>
                <w:sz w:val="17"/>
                <w:szCs w:val="17"/>
              </w:rPr>
              <w:t xml:space="preserve">FC máxima (pico das séries)</w:t>
            </w:r>
          </w:p>
        </w:tc>
        <w:tc>
          <w:tcPr>
            <w:tcW w:type="dxa" w:w="3680"/>
            <w:tcMar>
              <w:top w:type="dxa" w:w="40"/>
              <w:left w:type="dxa" w:w="90"/>
              <w:bottom w:type="dxa" w:w="40"/>
              <w:right w:type="dxa" w:w="90"/>
            </w:tcMar>
          </w:tcPr>
          <w:p>
            <w:pPr>
              <w:spacing w:after="0" w:line="240"/>
              <w:jc w:val="right"/>
            </w:pPr>
            <w:r>
              <w:rPr>
                <w:b w:val="false"/>
                <w:bCs w:val="false"/>
                <w:sz w:val="17"/>
                <w:szCs w:val="17"/>
              </w:rPr>
              <w:t xml:space="preserve">186 ± 6 bpm</w:t>
            </w:r>
          </w:p>
        </w:tc>
      </w:tr>
      <w:tr>
        <w:tc>
          <w:tcPr>
            <w:tcW w:type="dxa" w:w="5680"/>
            <w:tcMar>
              <w:top w:type="dxa" w:w="40"/>
              <w:left w:type="dxa" w:w="90"/>
              <w:bottom w:type="dxa" w:w="40"/>
              <w:right w:type="dxa" w:w="90"/>
            </w:tcMar>
          </w:tcPr>
          <w:p>
            <w:pPr>
              <w:spacing w:after="0" w:line="240"/>
              <w:jc w:val="left"/>
            </w:pPr>
            <w:r>
              <w:rPr>
                <w:b w:val="false"/>
                <w:bCs w:val="false"/>
                <w:sz w:val="17"/>
                <w:szCs w:val="17"/>
              </w:rPr>
              <w:t xml:space="preserve">FC média das 4 séries</w:t>
            </w:r>
          </w:p>
        </w:tc>
        <w:tc>
          <w:tcPr>
            <w:tcW w:type="dxa" w:w="3680"/>
            <w:tcMar>
              <w:top w:type="dxa" w:w="40"/>
              <w:left w:type="dxa" w:w="90"/>
              <w:bottom w:type="dxa" w:w="40"/>
              <w:right w:type="dxa" w:w="90"/>
            </w:tcMar>
          </w:tcPr>
          <w:p>
            <w:pPr>
              <w:spacing w:after="0" w:line="240"/>
              <w:jc w:val="right"/>
            </w:pPr>
            <w:r>
              <w:rPr>
                <w:b w:val="false"/>
                <w:bCs w:val="false"/>
                <w:sz w:val="17"/>
                <w:szCs w:val="17"/>
              </w:rPr>
              <w:t xml:space="preserve">179 ± 5 bpm</w:t>
            </w:r>
          </w:p>
        </w:tc>
      </w:tr>
      <w:tr>
        <w:tc>
          <w:tcPr>
            <w:tcW w:type="dxa" w:w="5680"/>
            <w:tcMar>
              <w:top w:type="dxa" w:w="40"/>
              <w:left w:type="dxa" w:w="90"/>
              <w:bottom w:type="dxa" w:w="40"/>
              <w:right w:type="dxa" w:w="90"/>
            </w:tcMar>
          </w:tcPr>
          <w:p>
            <w:pPr>
              <w:spacing w:after="0" w:line="240"/>
              <w:jc w:val="left"/>
            </w:pPr>
            <w:r>
              <w:rPr>
                <w:b w:val="false"/>
                <w:bCs w:val="false"/>
                <w:sz w:val="17"/>
                <w:szCs w:val="17"/>
              </w:rPr>
              <w:t xml:space="preserve">FC de recuperação (início das séries)</w:t>
            </w:r>
          </w:p>
        </w:tc>
        <w:tc>
          <w:tcPr>
            <w:tcW w:type="dxa" w:w="3680"/>
            <w:tcMar>
              <w:top w:type="dxa" w:w="40"/>
              <w:left w:type="dxa" w:w="90"/>
              <w:bottom w:type="dxa" w:w="40"/>
              <w:right w:type="dxa" w:w="90"/>
            </w:tcMar>
          </w:tcPr>
          <w:p>
            <w:pPr>
              <w:spacing w:after="0" w:line="240"/>
              <w:jc w:val="right"/>
            </w:pPr>
            <w:r>
              <w:rPr>
                <w:b w:val="false"/>
                <w:bCs w:val="false"/>
                <w:sz w:val="17"/>
                <w:szCs w:val="17"/>
              </w:rPr>
              <w:t xml:space="preserve">124 ± 8 bpm</w:t>
            </w:r>
          </w:p>
        </w:tc>
      </w:tr>
      <w:tr>
        <w:tc>
          <w:tcPr>
            <w:tcW w:type="dxa" w:w="5680"/>
            <w:tcMar>
              <w:top w:type="dxa" w:w="40"/>
              <w:left w:type="dxa" w:w="90"/>
              <w:bottom w:type="dxa" w:w="40"/>
              <w:right w:type="dxa" w:w="90"/>
            </w:tcMar>
          </w:tcPr>
          <w:p>
            <w:pPr>
              <w:spacing w:after="0" w:line="240"/>
              <w:jc w:val="left"/>
            </w:pPr>
            <w:r>
              <w:rPr>
                <w:b w:val="false"/>
                <w:bCs w:val="false"/>
                <w:sz w:val="17"/>
                <w:szCs w:val="17"/>
              </w:rPr>
              <w:t xml:space="preserve">PSE final (0–10)</w:t>
            </w:r>
          </w:p>
        </w:tc>
        <w:tc>
          <w:tcPr>
            <w:tcW w:type="dxa" w:w="3680"/>
            <w:tcMar>
              <w:top w:type="dxa" w:w="40"/>
              <w:left w:type="dxa" w:w="90"/>
              <w:bottom w:type="dxa" w:w="40"/>
              <w:right w:type="dxa" w:w="90"/>
            </w:tcMar>
          </w:tcPr>
          <w:p>
            <w:pPr>
              <w:spacing w:after="0" w:line="240"/>
              <w:jc w:val="right"/>
            </w:pPr>
            <w:r>
              <w:rPr>
                <w:b w:val="false"/>
                <w:bCs w:val="false"/>
                <w:sz w:val="17"/>
                <w:szCs w:val="17"/>
              </w:rPr>
              <w:t xml:space="preserve">9,9 ± 0,3</w:t>
            </w:r>
          </w:p>
        </w:tc>
      </w:tr>
    </w:tbl>
    <w:p>
      <w:pPr>
        <w:spacing w:after="180" w:before="60"/>
      </w:pPr>
      <w:r>
        <w:rPr>
          <w:i/>
          <w:iCs/>
          <w:color w:val="5B6B82"/>
          <w:sz w:val="17"/>
          <w:szCs w:val="17"/>
        </w:rPr>
        <w:t xml:space="preserve">Tabela 1. Carga interna das sessões de HIIT (n = 25 atletas; 4 sessões).</w:t>
      </w:r>
    </w:p>
    <w:p>
      <w:pPr>
        <w:pStyle w:val="Heading2"/>
        <w:spacing w:after="120" w:before="280"/>
      </w:pPr>
      <w:r>
        <w:t xml:space="preserve">2.5. Procedimentos e integridade dos dados</w:t>
      </w:r>
    </w:p>
    <w:p>
      <w:pPr>
        <w:spacing w:after="140" w:before="0" w:line="300"/>
        <w:jc w:val="both"/>
      </w:pPr>
      <w:r>
        <w:t xml:space="preserve">A base foi reconstruída do zero a partir da coleta bruta e recalculada em Python, comparada célula a célula às tabelas e ao texto originais (84 checagens; 77 exatas, 7 reconciliadas — nenhuma correção altera as conclusões). O dia foi derivado do carimbo temporal da coleta.</w:t>
      </w:r>
    </w:p>
    <w:p>
      <w:pPr>
        <w:pStyle w:val="Heading2"/>
        <w:spacing w:after="120" w:before="280"/>
      </w:pPr>
      <w:r>
        <w:t xml:space="preserve">2.6. Análise estatística</w:t>
      </w:r>
    </w:p>
    <w:p>
      <w:pPr>
        <w:spacing w:after="140" w:before="0" w:line="300"/>
        <w:jc w:val="both"/>
      </w:pPr>
      <w:r>
        <w:t xml:space="preserve">A unidade de análise foi o atleta. Empregaram-se modelos de efeitos mistos (interceptos e, quando cabível, inclinações aleatórias por atleta); testes pareados clássicos (t de Student e Wilcoxon) com tamanho de efeito intra-sujeito (dz) e intervalos de confiança por bootstrap agrupado por atleta; correção de comparações múltiplas por FDR (Benjamini–Hochberg); análise de variância de Friedman/RM-ANOVA para o efeito do dia; e correlação de medidas repetidas (rm_corr) e coeficiente de correlação intraclasse (ICC) para acoplamento e estabilidade. A qualidade da medida foi avaliada por α de Cronbach (com IC95%), ω de McDonald, AFC (estimador DWLS), HTMT, teoria de resposta ao item (modelo de resposta gradual) e análise fatorial exploratória; a equivalência pré→pós, pela hierarquia de invariância configural → métrica → escalar → estrita/parcial (ΔCFI ≤ 0,01; congruência de Tucker φ ≥ 0,95). A capacidade diagnóstica foi quantificada por curvas ROC (AUC com IC95% por bootstrap agrupado por atleta) e a validação preditiva por regressão/classificação leave-one-athlete-out. Confirmação bayesiana (fator de Bayes JZS) e multivariada (Hotelling T², MANOVA/PERMANOVA) complementaram a inferência. Análises em Python (statsmodels, scipy, pingouin, semopy, factor_analyzer); α = 0,05.</w:t>
      </w:r>
    </w:p>
    <w:p>
      <w:pPr>
        <w:spacing w:after="40" w:before="120"/>
        <w:jc w:val="center"/>
      </w:pPr>
      <w:r>
        <w:drawing>
          <wp:inline distT="0" distB="0" distL="0" distR="0">
            <wp:extent cx="58483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4781550"/>
                    </a:xfrm>
                    <a:prstGeom prst="rect">
                      <a:avLst/>
                    </a:prstGeom>
                  </pic:spPr>
                </pic:pic>
              </a:graphicData>
            </a:graphic>
          </wp:inline>
        </w:drawing>
      </w:r>
    </w:p>
    <w:p>
      <w:pPr>
        <w:spacing w:after="180" w:before="60"/>
      </w:pPr>
      <w:r>
        <w:rPr>
          <w:i/>
          <w:iCs/>
          <w:color w:val="5B6B82"/>
          <w:sz w:val="17"/>
          <w:szCs w:val="17"/>
        </w:rPr>
        <w:t xml:space="preserve">Figura 2. Desenho analítico do estudo: do microciclo (7 dias, HIIT nos dias 2/4/7) e das coletas pré/pós à cadeia de análises com o atleta como unidade.</w:t>
      </w:r>
    </w:p>
    <w:p>
      <w:r>
        <w:br w:type="page"/>
      </w:r>
    </w:p>
    <w:p>
      <w:pPr>
        <w:pStyle w:val="Heading1"/>
        <w:spacing w:after="120" w:before="280"/>
      </w:pPr>
      <w:r>
        <w:t xml:space="preserve">3. Resultados</w:t>
      </w:r>
    </w:p>
    <w:p>
      <w:pPr>
        <w:spacing w:after="140" w:before="0" w:line="300"/>
        <w:jc w:val="both"/>
      </w:pPr>
      <w:r>
        <w:t xml:space="preserve">Os resultados são apresentados em blocos — estatística descritiva e estatística inferencial —, seguidos da qualidade da medida e da invariância, e do diagnóstico, predição e monitoramento.</w:t>
      </w:r>
    </w:p>
    <w:p>
      <w:pPr>
        <w:pStyle w:val="Heading2"/>
        <w:spacing w:after="120" w:before="280"/>
      </w:pPr>
      <w:r>
        <w:t xml:space="preserve">3.1. Estatística descritiva</w:t>
      </w:r>
    </w:p>
    <w:p>
      <w:pPr>
        <w:spacing w:after="140" w:before="0" w:line="300"/>
        <w:jc w:val="both"/>
      </w:pPr>
      <w:r>
        <w:t xml:space="preserve">As subescalas negativas concentram grande parte das respostas no piso da escala — confusão (80,5%), depressão (67,1%) e raiva (59,6%) —, enquanto fadiga física, fadiga e vigor distribuem-se amplamente (Tabela 2). Os histogramas e box plots (Figura 3A–B) mostram o deslocamento pré→pós no eixo energia–fadiga; a dispersão Vigor × Fadiga (Figura 3C) evidencia a relação inversa (r ≈ −0,44). A não-normalidade é a regra: os gráficos Q–Q e o teste de Shapiro–Wilk (Figura 3D) indicam desvios da normal tanto no pré quanto no pós, o que justifica a confirmação por testes não-paramétricos e permutação.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080"/>
        <w:gridCol w:w="1080"/>
        <w:gridCol w:w="1240"/>
        <w:gridCol w:w="1080"/>
        <w:gridCol w:w="1120"/>
        <w:gridCol w:w="10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M</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DP</w:t>
            </w:r>
          </w:p>
        </w:tc>
        <w:tc>
          <w:tcPr>
            <w:tcW w:type="dxa" w:w="1240"/>
            <w:shd w:fill="EAF1F7" w:color="auto" w:val="clear"/>
            <w:tcMar>
              <w:top w:type="dxa" w:w="40"/>
              <w:left w:type="dxa" w:w="90"/>
              <w:bottom w:type="dxa" w:w="40"/>
              <w:right w:type="dxa" w:w="90"/>
            </w:tcMar>
          </w:tcPr>
          <w:p>
            <w:pPr>
              <w:spacing w:after="0" w:line="240"/>
              <w:jc w:val="right"/>
            </w:pPr>
            <w:r>
              <w:rPr>
                <w:b/>
                <w:bCs/>
                <w:color w:val="16273D"/>
                <w:sz w:val="17"/>
                <w:szCs w:val="17"/>
              </w:rPr>
              <w:t xml:space="preserve">Mediana</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IQR</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 piso</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Normal?</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4,39</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9,64</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6,12</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2,34</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6,00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3,00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5,64</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3,89</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5,00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5,00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7,7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5,70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3,12</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6,00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4,00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8,6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4,59</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2,81</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4,00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5,00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5,3</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1,39</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1,84</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49,6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2,31</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67,1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1,60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2,73</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59,6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0,45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1,19</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80,5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físico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1,83</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1,02</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13,4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mental</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2,36</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1,04</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3,00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7,5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bl>
    <w:p>
      <w:pPr>
        <w:spacing w:after="180" w:before="60"/>
      </w:pPr>
      <w:r>
        <w:rPr>
          <w:i/>
          <w:iCs/>
          <w:color w:val="5B6B82"/>
          <w:sz w:val="17"/>
          <w:szCs w:val="17"/>
        </w:rPr>
        <w:t xml:space="preserve">Tabela 2. Estatística descritiva por variável (amostra completa, n = 456): média, DP, mediana, IQR, efeito piso e normalidade (Shapiro–Wilk).</w:t>
      </w:r>
    </w:p>
    <w:p>
      <w:pPr>
        <w:spacing w:after="40" w:before="120"/>
        <w:jc w:val="center"/>
      </w:pPr>
      <w:r>
        <w:drawing>
          <wp:inline distT="0" distB="0" distL="0" distR="0">
            <wp:extent cx="58483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181475"/>
                    </a:xfrm>
                    <a:prstGeom prst="rect">
                      <a:avLst/>
                    </a:prstGeom>
                  </pic:spPr>
                </pic:pic>
              </a:graphicData>
            </a:graphic>
          </wp:inline>
        </w:drawing>
      </w:r>
    </w:p>
    <w:p>
      <w:pPr>
        <w:spacing w:after="180" w:before="60"/>
      </w:pPr>
      <w:r>
        <w:rPr>
          <w:i/>
          <w:iCs/>
          <w:color w:val="5B6B82"/>
          <w:sz w:val="17"/>
          <w:szCs w:val="17"/>
        </w:rPr>
        <w:t xml:space="preserve">Figura 3. Estatística descritiva: A — histograma da fadiga física (pré vs. pós); B — box plots pré vs. pós das variáveis-chave; C — dispersão Vigor × Fadiga (eixo energia–fadiga); D — Q–Q de normalidade do PTH (pré vs. pós).</w:t>
      </w:r>
    </w:p>
    <w:p>
      <w:pPr>
        <w:pStyle w:val="Heading2"/>
        <w:spacing w:after="120" w:before="280"/>
      </w:pPr>
      <w:r>
        <w:t xml:space="preserve">3.2. Estatística inferencial</w:t>
      </w:r>
    </w:p>
    <w:p>
      <w:pPr>
        <w:pStyle w:val="Heading3"/>
        <w:spacing w:after="120" w:before="280"/>
      </w:pPr>
      <w:r>
        <w:t xml:space="preserve">3.2.1. Resposta aguda pré→pós</w:t>
      </w:r>
    </w:p>
    <w:p>
      <w:pPr>
        <w:spacing w:after="140" w:before="0" w:line="300"/>
        <w:jc w:val="both"/>
      </w:pPr>
      <w:r>
        <w:t xml:space="preserve">A resposta aguda concentra-se no eixo energia–fadiga (Tabela 3): fadiga física com efeito grande (dz 1,06), seguida de PTH (dz 0,68), fadiga (dz 0,62) e queda de vigor (dz -0,56); todas sobrevivem à FDR. As subescalas negativas com efeito piso não se movem significativamente. A robustez foi confirmada por permutação restrita (troca pré↔pós dentro de cada atleta), que concorda com o teste t (Tabela 4).</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560"/>
        <w:gridCol w:w="1200"/>
        <w:gridCol w:w="2340"/>
        <w:gridCol w:w="1200"/>
        <w:gridCol w:w="9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56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(pós−pré)</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234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 (dz)</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9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+1,74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[0,75; 1,54]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+3,51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[0,39; 1,04]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+1,72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[0,40; 0,92]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0,011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-0,96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[-0,97; -0,22]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0,017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[0,10; 0,78]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0,055</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+0,42</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[0,09; 0,76]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0,057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+0,36</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[0,07; 0,64]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0,092</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+0,20</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[-0,18; 0,54]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0,334</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-0,10</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[-0,53; 0,28]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0,613</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3. Resposta aguda pré→pós por variável (dz; IC95% por bootstrap; p com FDR).</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1800"/>
        <w:gridCol w:w="1800"/>
        <w:gridCol w:w="1200"/>
        <w:gridCol w:w="120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8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(pós−pré)</w:t>
            </w:r>
          </w:p>
        </w:tc>
        <w:tc>
          <w:tcPr>
            <w:tcW w:type="dxa" w:w="18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(permutação)</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(t)</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Concordam?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+1,74</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+3,51</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0,001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-0,96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0,007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+1,72</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+0,28</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0,037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0,038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0,052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0,071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0,303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0,297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0,621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0,613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bl>
    <w:p>
      <w:pPr>
        <w:spacing w:after="180" w:before="60"/>
      </w:pPr>
      <w:r>
        <w:rPr>
          <w:i/>
          <w:iCs/>
          <w:color w:val="5B6B82"/>
          <w:sz w:val="17"/>
          <w:szCs w:val="17"/>
        </w:rPr>
        <w:t xml:space="preserve">Tabela 4. Confirmação por permutação restrita (9999 permutações, troca pré↔pós intra-atleta) vs. teste t.</w:t>
      </w:r>
    </w:p>
    <w:p>
      <w:pPr>
        <w:spacing w:after="40" w:before="120"/>
        <w:jc w:val="center"/>
      </w:pPr>
      <w:r>
        <w:drawing>
          <wp:inline distT="0" distB="0" distL="0" distR="0">
            <wp:extent cx="58483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676650"/>
                    </a:xfrm>
                    <a:prstGeom prst="rect">
                      <a:avLst/>
                    </a:prstGeom>
                  </pic:spPr>
                </pic:pic>
              </a:graphicData>
            </a:graphic>
          </wp:inline>
        </w:drawing>
      </w:r>
    </w:p>
    <w:p>
      <w:pPr>
        <w:spacing w:after="180" w:before="60"/>
      </w:pPr>
      <w:r>
        <w:rPr>
          <w:i/>
          <w:iCs/>
          <w:color w:val="5B6B82"/>
          <w:sz w:val="17"/>
          <w:szCs w:val="17"/>
        </w:rPr>
        <w:t xml:space="preserve">Figura 4. Resposta aguda pré→pós (dz ± IC95%) por variável — a fadiga física ancora o eixo energia–fadiga.</w:t>
      </w:r>
    </w:p>
    <w:p>
      <w:pPr>
        <w:pStyle w:val="Heading3"/>
        <w:spacing w:after="120" w:before="280"/>
      </w:pPr>
      <w:r>
        <w:t xml:space="preserve">3.2.2. Acúmulo semanal e efeito dos dias de HIIT</w:t>
      </w:r>
    </w:p>
    <w:p>
      <w:pPr>
        <w:spacing w:after="140" w:before="0" w:line="300"/>
        <w:jc w:val="both"/>
      </w:pPr>
      <w:r>
        <w:t xml:space="preserve">No modelo misto de acúmulo, a fadiga física cresce ~0,34/dia e o PTH acumula de forma heterogênea entre atletas (Tabela 5). O efeito do HIIT manifesta-se no nível do dia (ΔPTH +1,90; dz 0,48); no plano estritamente agudo, apenas a fadiga física é amplificada pelo HIIT. Comparando os três dias de HIIT entre si (Friedman), a resposta não difere entre as sessões 2, 4 e 7 (Tabela 6) — o estímulo é consistente e o que cresce é o acúmulo, não a resposta por sessão.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1650"/>
        <w:gridCol w:w="1450"/>
        <w:gridCol w:w="1450"/>
        <w:gridCol w:w="145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Desfecho</w:t>
            </w:r>
          </w:p>
        </w:tc>
        <w:tc>
          <w:tcPr>
            <w:tcW w:type="dxa" w:w="1650"/>
            <w:shd w:fill="EAF1F7" w:color="auto" w:val="clear"/>
            <w:tcMar>
              <w:top w:type="dxa" w:w="40"/>
              <w:left w:type="dxa" w:w="90"/>
              <w:bottom w:type="dxa" w:w="40"/>
              <w:right w:type="dxa" w:w="90"/>
            </w:tcMar>
          </w:tcPr>
          <w:p>
            <w:pPr>
              <w:spacing w:after="0" w:line="240"/>
              <w:jc w:val="right"/>
            </w:pPr>
            <w:r>
              <w:rPr>
                <w:b/>
                <w:bCs/>
                <w:color w:val="16273D"/>
                <w:sz w:val="17"/>
                <w:szCs w:val="17"/>
              </w:rPr>
              <w:t xml:space="preserve">β (pós)</w:t>
            </w:r>
          </w:p>
        </w:tc>
        <w:tc>
          <w:tcPr>
            <w:tcW w:type="dxa" w:w="145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R²m</w:t>
            </w:r>
          </w:p>
        </w:tc>
        <w:tc>
          <w:tcPr>
            <w:tcW w:type="dxa" w:w="145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R²c</w:t>
            </w:r>
          </w:p>
        </w:tc>
        <w:tc>
          <w:tcPr>
            <w:tcW w:type="dxa" w:w="145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+3,47</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0,59</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+1,65</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0,21</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0,47</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-1,09</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0,59</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0,57</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+1,50</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0,08</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0,63</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0,60</w:t>
            </w:r>
          </w:p>
        </w:tc>
      </w:tr>
    </w:tbl>
    <w:p>
      <w:pPr>
        <w:spacing w:after="180" w:before="60"/>
      </w:pPr>
      <w:r>
        <w:rPr>
          <w:i/>
          <w:iCs/>
          <w:color w:val="5B6B82"/>
          <w:sz w:val="17"/>
          <w:szCs w:val="17"/>
        </w:rPr>
        <w:t xml:space="preserve">Tabela 5. Modelos mistos por desfecho: efeito do momento pós (β), R² marginal/condicional e ICC.</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420"/>
        <w:gridCol w:w="1420"/>
        <w:gridCol w:w="1420"/>
        <w:gridCol w:w="1900"/>
        <w:gridCol w:w="114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42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dia 2</w:t>
            </w:r>
          </w:p>
        </w:tc>
        <w:tc>
          <w:tcPr>
            <w:tcW w:type="dxa" w:w="142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dia 4</w:t>
            </w:r>
          </w:p>
        </w:tc>
        <w:tc>
          <w:tcPr>
            <w:tcW w:type="dxa" w:w="142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dia 7</w:t>
            </w:r>
          </w:p>
        </w:tc>
        <w:tc>
          <w:tcPr>
            <w:tcW w:type="dxa" w:w="1900"/>
            <w:shd w:fill="EAF1F7" w:color="auto" w:val="clear"/>
            <w:tcMar>
              <w:top w:type="dxa" w:w="40"/>
              <w:left w:type="dxa" w:w="90"/>
              <w:bottom w:type="dxa" w:w="40"/>
              <w:right w:type="dxa" w:w="90"/>
            </w:tcMar>
          </w:tcPr>
          <w:p>
            <w:pPr>
              <w:spacing w:after="0" w:line="240"/>
              <w:jc w:val="right"/>
            </w:pPr>
            <w:r>
              <w:rPr>
                <w:b/>
                <w:bCs/>
                <w:color w:val="16273D"/>
                <w:sz w:val="17"/>
                <w:szCs w:val="17"/>
              </w:rPr>
              <w:t xml:space="preserve">χ² (Friedman)</w:t>
            </w:r>
          </w:p>
        </w:tc>
        <w:tc>
          <w:tcPr>
            <w:tcW w:type="dxa" w:w="1140"/>
            <w:shd w:fill="EAF1F7" w:color="auto" w:val="clear"/>
            <w:tcMar>
              <w:top w:type="dxa" w:w="40"/>
              <w:left w:type="dxa" w:w="90"/>
              <w:bottom w:type="dxa" w:w="40"/>
              <w:right w:type="dxa" w:w="90"/>
            </w:tcMar>
          </w:tcPr>
          <w:p>
            <w:pPr>
              <w:spacing w:after="0" w:line="240"/>
              <w:jc w:val="right"/>
            </w:pPr>
            <w:r>
              <w:rPr>
                <w:b/>
                <w:bCs/>
                <w:color w:val="16273D"/>
                <w:sz w:val="17"/>
                <w:szCs w:val="17"/>
              </w:rPr>
              <w:t xml:space="preserve">p</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+1,14</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+3,43</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+3,50</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0,73</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0,694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+2,50</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+1,86</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+1,64</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2,73</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0,255</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-1,21</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-1,14</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3,79</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0,150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+2,36</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+0,64</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+1,50</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2,44</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0,296</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+0,29</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+0,79</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0,93</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0,627</w:t>
            </w:r>
          </w:p>
        </w:tc>
      </w:tr>
    </w:tbl>
    <w:p>
      <w:pPr>
        <w:spacing w:after="180" w:before="60"/>
      </w:pPr>
      <w:r>
        <w:rPr>
          <w:i/>
          <w:iCs/>
          <w:color w:val="5B6B82"/>
          <w:sz w:val="17"/>
          <w:szCs w:val="17"/>
        </w:rPr>
        <w:t xml:space="preserve">Tabela 6. Resposta por dia de HIIT (dias 2, 4 e 7) e teste de Friedman entre os três dias.</w:t>
      </w:r>
    </w:p>
    <w:p>
      <w:pPr>
        <w:spacing w:after="40" w:before="120"/>
        <w:jc w:val="center"/>
      </w:pPr>
      <w:r>
        <w:drawing>
          <wp:inline distT="0" distB="0" distL="0" distR="0">
            <wp:extent cx="58483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009900"/>
                    </a:xfrm>
                    <a:prstGeom prst="rect">
                      <a:avLst/>
                    </a:prstGeom>
                  </pic:spPr>
                </pic:pic>
              </a:graphicData>
            </a:graphic>
          </wp:inline>
        </w:drawing>
      </w:r>
    </w:p>
    <w:p>
      <w:pPr>
        <w:spacing w:after="180" w:before="60"/>
      </w:pPr>
      <w:r>
        <w:rPr>
          <w:i/>
          <w:iCs/>
          <w:color w:val="5B6B82"/>
          <w:sz w:val="17"/>
          <w:szCs w:val="17"/>
        </w:rPr>
        <w:t xml:space="preserve">Figura 5. Acúmulo ao longo do microciclo com inclinações aleatórias por atleta — trajetórias individuais da fadiga física e do PTH.</w:t>
      </w:r>
    </w:p>
    <w:p>
      <w:pPr>
        <w:pStyle w:val="Heading3"/>
        <w:spacing w:after="120" w:before="280"/>
      </w:pPr>
      <w:r>
        <w:t xml:space="preserve">3.2.3. Dias de HIIT vs. dias sem HIIT</w:t>
      </w:r>
    </w:p>
    <w:p>
      <w:pPr>
        <w:spacing w:after="140" w:before="0" w:line="300"/>
        <w:jc w:val="both"/>
      </w:pPr>
      <w:r>
        <w:t xml:space="preserve">Comparando diretamente a resposta média nos dias de HIIT (2, 4, 7) com a dos dias técnico-táticos (1, 3, 5, 6) no nível do atleta (Tabela 7), a fadiga física tende a ser maior nos dias de HIIT (dz 0,38), mas nenhuma diferença sobrevive à correção FDR — a assinatura do HIIT está no acúmulo diário e não num contraste agudo isolado, dominado pela variabilidade individual.</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760"/>
        <w:gridCol w:w="1760"/>
        <w:gridCol w:w="940"/>
        <w:gridCol w:w="940"/>
        <w:gridCol w:w="1200"/>
        <w:gridCol w:w="8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760"/>
            <w:shd w:fill="EAF1F7" w:color="auto" w:val="clear"/>
            <w:tcMar>
              <w:top w:type="dxa" w:w="40"/>
              <w:left w:type="dxa" w:w="90"/>
              <w:bottom w:type="dxa" w:w="40"/>
              <w:right w:type="dxa" w:w="90"/>
            </w:tcMar>
          </w:tcPr>
          <w:p>
            <w:pPr>
              <w:spacing w:after="0" w:line="240"/>
              <w:jc w:val="right"/>
            </w:pPr>
            <w:r>
              <w:rPr>
                <w:b/>
                <w:bCs/>
                <w:color w:val="16273D"/>
                <w:sz w:val="17"/>
                <w:szCs w:val="17"/>
              </w:rPr>
              <w:t xml:space="preserve">Média dias HIIT</w:t>
            </w:r>
          </w:p>
        </w:tc>
        <w:tc>
          <w:tcPr>
            <w:tcW w:type="dxa" w:w="1760"/>
            <w:shd w:fill="EAF1F7" w:color="auto" w:val="clear"/>
            <w:tcMar>
              <w:top w:type="dxa" w:w="40"/>
              <w:left w:type="dxa" w:w="90"/>
              <w:bottom w:type="dxa" w:w="40"/>
              <w:right w:type="dxa" w:w="90"/>
            </w:tcMar>
          </w:tcPr>
          <w:p>
            <w:pPr>
              <w:spacing w:after="0" w:line="240"/>
              <w:jc w:val="right"/>
            </w:pPr>
            <w:r>
              <w:rPr>
                <w:b/>
                <w:bCs/>
                <w:color w:val="16273D"/>
                <w:sz w:val="17"/>
                <w:szCs w:val="17"/>
              </w:rPr>
              <w:t xml:space="preserve">Média dias sem</w:t>
            </w:r>
          </w:p>
        </w:tc>
        <w:tc>
          <w:tcPr>
            <w:tcW w:type="dxa" w:w="940"/>
            <w:shd w:fill="EAF1F7" w:color="auto" w:val="clear"/>
            <w:tcMar>
              <w:top w:type="dxa" w:w="40"/>
              <w:left w:type="dxa" w:w="90"/>
              <w:bottom w:type="dxa" w:w="40"/>
              <w:right w:type="dxa" w:w="90"/>
            </w:tcMar>
          </w:tcPr>
          <w:p>
            <w:pPr>
              <w:spacing w:after="0" w:line="240"/>
              <w:jc w:val="right"/>
            </w:pPr>
            <w:r>
              <w:rPr>
                <w:b/>
                <w:bCs/>
                <w:color w:val="16273D"/>
                <w:sz w:val="17"/>
                <w:szCs w:val="17"/>
              </w:rPr>
              <w:t xml:space="preserve">dif</w:t>
            </w:r>
          </w:p>
        </w:tc>
        <w:tc>
          <w:tcPr>
            <w:tcW w:type="dxa" w:w="94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8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+2,99</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+3,49</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-0,51</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-0,09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0,880</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+1,35</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0,487</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-0,91</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-1,29</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+0,18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0,836</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+1,68</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+1,10</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0,735</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0,989</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7. Dias de HIIT vs. dias sem HIIT (resposta média por atleta; n = 25; dz, RBC e p com FDR).</w:t>
      </w:r>
    </w:p>
    <w:p>
      <w:pPr>
        <w:pStyle w:val="Heading3"/>
        <w:spacing w:after="120" w:before="280"/>
      </w:pPr>
      <w:r>
        <w:t xml:space="preserve">3.2.4. Confirmação multivariada e bayesiana</w:t>
      </w:r>
    </w:p>
    <w:p>
      <w:pPr>
        <w:spacing w:after="140" w:before="0" w:line="300"/>
        <w:jc w:val="both"/>
      </w:pPr>
      <w:r>
        <w:t xml:space="preserve">No plano multivariado, o vetor de humor difere entre pré e pós (MANOVA) e a permutação multivariada restrita confirma o efeito (Tabela 8). A estimação bayesiana corrobora a magnitude e a direção dos principais efeitos, com intervalos de credibilidade que excluem o zero e P(Δ&gt;0) ≈ 1 (Tabela 9).</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4200"/>
        <w:gridCol w:w="4160"/>
        <w:gridCol w:w="1000"/>
      </w:tblGrid>
      <w:tr>
        <w:trPr>
          <w:tblHeader/>
        </w:trPr>
        <w:tc>
          <w:tcPr>
            <w:tcW w:type="dxa" w:w="4200"/>
            <w:shd w:fill="EAF1F7" w:color="auto" w:val="clear"/>
            <w:tcMar>
              <w:top w:type="dxa" w:w="40"/>
              <w:left w:type="dxa" w:w="90"/>
              <w:bottom w:type="dxa" w:w="40"/>
              <w:right w:type="dxa" w:w="90"/>
            </w:tcMar>
          </w:tcPr>
          <w:p>
            <w:pPr>
              <w:spacing w:after="0" w:line="240"/>
              <w:jc w:val="left"/>
            </w:pPr>
            <w:r>
              <w:rPr>
                <w:b/>
                <w:bCs/>
                <w:color w:val="16273D"/>
                <w:sz w:val="17"/>
                <w:szCs w:val="17"/>
              </w:rPr>
              <w:t xml:space="preserve">Teste multivariado</w:t>
            </w:r>
          </w:p>
        </w:tc>
        <w:tc>
          <w:tcPr>
            <w:tcW w:type="dxa" w:w="4160"/>
            <w:shd w:fill="EAF1F7" w:color="auto" w:val="clear"/>
            <w:tcMar>
              <w:top w:type="dxa" w:w="40"/>
              <w:left w:type="dxa" w:w="90"/>
              <w:bottom w:type="dxa" w:w="40"/>
              <w:right w:type="dxa" w:w="90"/>
            </w:tcMar>
          </w:tcPr>
          <w:p>
            <w:pPr>
              <w:spacing w:after="0" w:line="240"/>
              <w:jc w:val="left"/>
            </w:pPr>
            <w:r>
              <w:rPr>
                <w:b/>
                <w:bCs/>
                <w:color w:val="16273D"/>
                <w:sz w:val="17"/>
                <w:szCs w:val="17"/>
              </w:rPr>
              <w:t xml:space="preserve">Estatística</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p</w:t>
            </w:r>
          </w:p>
        </w:tc>
      </w:tr>
      <w:tr>
        <w:tc>
          <w:tcPr>
            <w:tcW w:type="dxa" w:w="4200"/>
            <w:tcMar>
              <w:top w:type="dxa" w:w="40"/>
              <w:left w:type="dxa" w:w="90"/>
              <w:bottom w:type="dxa" w:w="40"/>
              <w:right w:type="dxa" w:w="90"/>
            </w:tcMar>
          </w:tcPr>
          <w:p>
            <w:pPr>
              <w:spacing w:after="0" w:line="240"/>
              <w:jc w:val="left"/>
            </w:pPr>
            <w:r>
              <w:rPr>
                <w:b w:val="false"/>
                <w:bCs w:val="false"/>
                <w:sz w:val="17"/>
                <w:szCs w:val="17"/>
              </w:rPr>
              <w:t xml:space="preserve">MANOVA (Momento)</w:t>
            </w:r>
          </w:p>
        </w:tc>
        <w:tc>
          <w:tcPr>
            <w:tcW w:type="dxa" w:w="4160"/>
            <w:tcMar>
              <w:top w:type="dxa" w:w="40"/>
              <w:left w:type="dxa" w:w="90"/>
              <w:bottom w:type="dxa" w:w="40"/>
              <w:right w:type="dxa" w:w="90"/>
            </w:tcMar>
          </w:tcPr>
          <w:p>
            <w:pPr>
              <w:spacing w:after="0" w:line="240"/>
              <w:jc w:val="left"/>
            </w:pPr>
            <w:r>
              <w:rPr>
                <w:b w:val="false"/>
                <w:bCs w:val="false"/>
                <w:sz w:val="17"/>
                <w:szCs w:val="17"/>
              </w:rPr>
              <w:t xml:space="preserve">Pillai 0,057 · Wilks 0,943 · F 2,67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0,016</w:t>
            </w:r>
          </w:p>
        </w:tc>
      </w:tr>
      <w:tr>
        <w:tc>
          <w:tcPr>
            <w:tcW w:type="dxa" w:w="4200"/>
            <w:tcMar>
              <w:top w:type="dxa" w:w="40"/>
              <w:left w:type="dxa" w:w="90"/>
              <w:bottom w:type="dxa" w:w="40"/>
              <w:right w:type="dxa" w:w="90"/>
            </w:tcMar>
          </w:tcPr>
          <w:p>
            <w:pPr>
              <w:spacing w:after="0" w:line="240"/>
              <w:jc w:val="left"/>
            </w:pPr>
            <w:r>
              <w:rPr>
                <w:b w:val="false"/>
                <w:bCs w:val="false"/>
                <w:sz w:val="17"/>
                <w:szCs w:val="17"/>
              </w:rPr>
              <w:t xml:space="preserve">PERMANOVA (pré↔pós intra-atleta)</w:t>
            </w:r>
          </w:p>
        </w:tc>
        <w:tc>
          <w:tcPr>
            <w:tcW w:type="dxa" w:w="4160"/>
            <w:tcMar>
              <w:top w:type="dxa" w:w="40"/>
              <w:left w:type="dxa" w:w="90"/>
              <w:bottom w:type="dxa" w:w="40"/>
              <w:right w:type="dxa" w:w="90"/>
            </w:tcMar>
          </w:tcPr>
          <w:p>
            <w:pPr>
              <w:spacing w:after="0" w:line="240"/>
              <w:jc w:val="left"/>
            </w:pPr>
            <w:r>
              <w:rPr>
                <w:b w:val="false"/>
                <w:bCs w:val="false"/>
                <w:sz w:val="17"/>
                <w:szCs w:val="17"/>
              </w:rPr>
              <w:t xml:space="preserve">pseudo-F 10,93 · R² 0,174 · 9999 perm.</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0,001</w:t>
            </w:r>
          </w:p>
        </w:tc>
      </w:tr>
    </w:tbl>
    <w:p>
      <w:pPr>
        <w:spacing w:after="180" w:before="60"/>
      </w:pPr>
      <w:r>
        <w:rPr>
          <w:i/>
          <w:iCs/>
          <w:color w:val="5B6B82"/>
          <w:sz w:val="17"/>
          <w:szCs w:val="17"/>
        </w:rPr>
        <w:t xml:space="preserve">Tabela 8. Análises multivariadas do vetor de humor pré vs. pós (MANOVA e PERMANOVA restrita).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2100"/>
        <w:gridCol w:w="1100"/>
        <w:gridCol w:w="2300"/>
        <w:gridCol w:w="12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Desfecho</w:t>
            </w:r>
          </w:p>
        </w:tc>
        <w:tc>
          <w:tcPr>
            <w:tcW w:type="dxa" w:w="2100"/>
            <w:shd w:fill="EAF1F7" w:color="auto" w:val="clear"/>
            <w:tcMar>
              <w:top w:type="dxa" w:w="40"/>
              <w:left w:type="dxa" w:w="90"/>
              <w:bottom w:type="dxa" w:w="40"/>
              <w:right w:type="dxa" w:w="90"/>
            </w:tcMar>
          </w:tcPr>
          <w:p>
            <w:pPr>
              <w:spacing w:after="0" w:line="240"/>
              <w:jc w:val="right"/>
            </w:pPr>
            <w:r>
              <w:rPr>
                <w:b/>
                <w:bCs/>
                <w:color w:val="16273D"/>
                <w:sz w:val="17"/>
                <w:szCs w:val="17"/>
              </w:rPr>
              <w:t xml:space="preserve">Média posterior</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EP</w:t>
            </w:r>
          </w:p>
        </w:tc>
        <w:tc>
          <w:tcPr>
            <w:tcW w:type="dxa" w:w="2300"/>
            <w:shd w:fill="EAF1F7" w:color="auto" w:val="clear"/>
            <w:tcMar>
              <w:top w:type="dxa" w:w="40"/>
              <w:left w:type="dxa" w:w="90"/>
              <w:bottom w:type="dxa" w:w="40"/>
              <w:right w:type="dxa" w:w="90"/>
            </w:tcMar>
          </w:tcPr>
          <w:p>
            <w:pPr>
              <w:spacing w:after="0" w:line="240"/>
              <w:jc w:val="left"/>
            </w:pPr>
            <w:r>
              <w:rPr>
                <w:b/>
                <w:bCs/>
                <w:color w:val="16273D"/>
                <w:sz w:val="17"/>
                <w:szCs w:val="17"/>
              </w:rPr>
              <w:t xml:space="preserve">IC credível 95%</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P(Δ&gt;0)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+3,48</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2300"/>
            <w:tcMar>
              <w:top w:type="dxa" w:w="40"/>
              <w:left w:type="dxa" w:w="90"/>
              <w:bottom w:type="dxa" w:w="40"/>
              <w:right w:type="dxa" w:w="90"/>
            </w:tcMar>
          </w:tcPr>
          <w:p>
            <w:pPr>
              <w:spacing w:after="0" w:line="240"/>
              <w:jc w:val="left"/>
            </w:pPr>
            <w:r>
              <w:rPr>
                <w:b w:val="false"/>
                <w:bCs w:val="false"/>
                <w:sz w:val="17"/>
                <w:szCs w:val="17"/>
              </w:rPr>
              <w:t xml:space="preserve">[1,98; 4,99]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1,00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+1,65</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0,20</w:t>
            </w:r>
          </w:p>
        </w:tc>
        <w:tc>
          <w:tcPr>
            <w:tcW w:type="dxa" w:w="2300"/>
            <w:tcMar>
              <w:top w:type="dxa" w:w="40"/>
              <w:left w:type="dxa" w:w="90"/>
              <w:bottom w:type="dxa" w:w="40"/>
              <w:right w:type="dxa" w:w="90"/>
            </w:tcMar>
          </w:tcPr>
          <w:p>
            <w:pPr>
              <w:spacing w:after="0" w:line="240"/>
              <w:jc w:val="left"/>
            </w:pPr>
            <w:r>
              <w:rPr>
                <w:b w:val="false"/>
                <w:bCs w:val="false"/>
                <w:sz w:val="17"/>
                <w:szCs w:val="17"/>
              </w:rPr>
              <w:t xml:space="preserve">[1,25; 2,04]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1,00</w:t>
            </w:r>
          </w:p>
        </w:tc>
      </w:tr>
    </w:tbl>
    <w:p>
      <w:pPr>
        <w:spacing w:after="180" w:before="60"/>
      </w:pPr>
      <w:r>
        <w:rPr>
          <w:i/>
          <w:iCs/>
          <w:color w:val="5B6B82"/>
          <w:sz w:val="17"/>
          <w:szCs w:val="17"/>
        </w:rPr>
        <w:t xml:space="preserve">Tabela 9. Estimação bayesiana (Gibbs) do efeito pós: média posterior, IC credível e probabilidade posterior de efeito positivo.</w:t>
      </w:r>
    </w:p>
    <w:p>
      <w:pPr>
        <w:pStyle w:val="Heading3"/>
        <w:spacing w:after="120" w:before="280"/>
      </w:pPr>
      <w:r>
        <w:t xml:space="preserve">3.2.5. Correlações intra-sujeito e validade convergente</w:t>
      </w:r>
    </w:p>
    <w:p>
      <w:pPr>
        <w:spacing w:after="140" w:before="0" w:line="300"/>
        <w:jc w:val="both"/>
      </w:pPr>
      <w:r>
        <w:t xml:space="preserve">As correlações de medidas repetidas (rm_corr; isolam a covariação intra-atleta) mostram que as subescalas do BRUMS covariam com os autorrelatos externos no sentido teoricamente esperado — validade convergente dentro do sujeito. Dos 24 pares testados, 17 são significativos após FDR (Tabela 10).</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360"/>
        <w:gridCol w:w="2600"/>
        <w:gridCol w:w="1000"/>
        <w:gridCol w:w="2000"/>
        <w:gridCol w:w="1200"/>
        <w:gridCol w:w="800"/>
      </w:tblGrid>
      <w:tr>
        <w:trPr>
          <w:tblHeader/>
        </w:trPr>
        <w:tc>
          <w:tcPr>
            <w:tcW w:type="dxa" w:w="2360"/>
            <w:shd w:fill="EAF1F7" w:color="auto" w:val="clear"/>
            <w:tcMar>
              <w:top w:type="dxa" w:w="40"/>
              <w:left w:type="dxa" w:w="90"/>
              <w:bottom w:type="dxa" w:w="40"/>
              <w:right w:type="dxa" w:w="90"/>
            </w:tcMar>
          </w:tcPr>
          <w:p>
            <w:pPr>
              <w:spacing w:after="0" w:line="240"/>
              <w:jc w:val="left"/>
            </w:pPr>
            <w:r>
              <w:rPr>
                <w:b/>
                <w:bCs/>
                <w:color w:val="16273D"/>
                <w:sz w:val="17"/>
                <w:szCs w:val="17"/>
              </w:rPr>
              <w:t xml:space="preserve">Subescala</w:t>
            </w:r>
          </w:p>
        </w:tc>
        <w:tc>
          <w:tcPr>
            <w:tcW w:type="dxa" w:w="2600"/>
            <w:shd w:fill="EAF1F7" w:color="auto" w:val="clear"/>
            <w:tcMar>
              <w:top w:type="dxa" w:w="40"/>
              <w:left w:type="dxa" w:w="90"/>
              <w:bottom w:type="dxa" w:w="40"/>
              <w:right w:type="dxa" w:w="90"/>
            </w:tcMar>
          </w:tcPr>
          <w:p>
            <w:pPr>
              <w:spacing w:after="0" w:line="240"/>
              <w:jc w:val="left"/>
            </w:pPr>
            <w:r>
              <w:rPr>
                <w:b/>
                <w:bCs/>
                <w:color w:val="16273D"/>
                <w:sz w:val="17"/>
                <w:szCs w:val="17"/>
              </w:rPr>
              <w:t xml:space="preserve">Autorrelato externo</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r</w:t>
            </w:r>
          </w:p>
        </w:tc>
        <w:tc>
          <w:tcPr>
            <w:tcW w:type="dxa" w:w="20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8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[0,08; 0,26]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[0,07; 0,26]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[-0,36; -0,18]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-0,32</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[-0,40; -0,23]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+0,13</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[0,04; 0,22]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0,009</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+0,29</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[0,20; 0,37]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-0,23</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[-0,32; -0,14]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[-0,50; -0,35]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-0,46</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[-0,53; -0,38]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-0,32</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[-0,40; -0,23]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[0,40; 0,54]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+0,37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[0,29; 0,45]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+0,64</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[0,58; 0,69]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+0,45</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[0,38; 0,53]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[-0,70; -0,60]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-0,45</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[-0,52; -0,37]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+0,12</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[0,03; 0,22]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0,013</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bl>
    <w:p>
      <w:pPr>
        <w:spacing w:after="180" w:before="60"/>
      </w:pPr>
      <w:r>
        <w:rPr>
          <w:i/>
          <w:iCs/>
          <w:color w:val="5B6B82"/>
          <w:sz w:val="17"/>
          <w:szCs w:val="17"/>
        </w:rPr>
        <w:t xml:space="preserve">Tabela 10. Correlações de medidas repetidas (rm_corr) significativas entre subescalas do BRUMS e autorrelatos externos (validade convergente intra-sujeito; FDR).</w:t>
      </w:r>
    </w:p>
    <w:p>
      <w:pPr>
        <w:pStyle w:val="Heading2"/>
        <w:spacing w:after="120" w:before="280"/>
      </w:pPr>
      <w:r>
        <w:t xml:space="preserve">3.3. Qualidade da medida e invariância</w:t>
      </w:r>
    </w:p>
    <w:p>
      <w:pPr>
        <w:spacing w:after="140" w:before="0" w:line="300"/>
        <w:jc w:val="both"/>
      </w:pPr>
      <w:r>
        <w:t xml:space="preserve">A confiabilidade por subescala reproduz a estrutura esperada (Tabela 11): raiva, depressão e fadiga com α e ω acima de 0,80; vigor e confusão limítrofes; apenas a tensão frágil (α 0,43), coerente com o efeito piso. A AFC de seis fatores ajusta bem (CFI 0,92; RMSEA 0,06; Figura 6) e o HTMT máximo (0,846) fica abaixo de 0,85. A equivalência de medida pré→pós sustenta-se na hierarquia (Tabela 12; Figura 7): métrica sustentada (ΔCFI -0,004; Tucker φ 0,992), escalar aproximada, estrita no limite, com a não-invariância localizada em dois itens cuja liberação (parcial) reduz o viés de 0,135 para 0,064. A mudança pré→pós é, portanto, de estado.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400"/>
        <w:gridCol w:w="2400"/>
        <w:gridCol w:w="1400"/>
        <w:gridCol w:w="14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Subescala</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α</w:t>
            </w:r>
          </w:p>
        </w:tc>
        <w:tc>
          <w:tcPr>
            <w:tcW w:type="dxa" w:w="24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 (α)</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ω</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Adequada?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[0,34; 0,51]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[0,82; 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[0,85; 0,89]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[0,63; 0,73]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0,78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limítrofe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[0,76; 0,82]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[0,60; 0,70]</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limítrofe</w:t>
            </w:r>
          </w:p>
        </w:tc>
      </w:tr>
    </w:tbl>
    <w:p>
      <w:pPr>
        <w:spacing w:after="180" w:before="60"/>
      </w:pPr>
      <w:r>
        <w:rPr>
          <w:i/>
          <w:iCs/>
          <w:color w:val="5B6B82"/>
          <w:sz w:val="17"/>
          <w:szCs w:val="17"/>
        </w:rPr>
        <w:t xml:space="preserve">Tabela 11. Confiabilidade por subescala (α de Cronbach com IC95%, ω de McDonald).</w:t>
      </w:r>
    </w:p>
    <w:p>
      <w:pPr>
        <w:spacing w:after="40" w:before="120"/>
        <w:jc w:val="center"/>
      </w:pPr>
      <w:r>
        <w:drawing>
          <wp:inline distT="0" distB="0" distL="0" distR="0">
            <wp:extent cx="58483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067050"/>
                    </a:xfrm>
                    <a:prstGeom prst="rect">
                      <a:avLst/>
                    </a:prstGeom>
                  </pic:spPr>
                </pic:pic>
              </a:graphicData>
            </a:graphic>
          </wp:inline>
        </w:drawing>
      </w:r>
    </w:p>
    <w:p>
      <w:pPr>
        <w:spacing w:after="180" w:before="60"/>
      </w:pPr>
      <w:r>
        <w:rPr>
          <w:i/>
          <w:iCs/>
          <w:color w:val="5B6B82"/>
          <w:sz w:val="17"/>
          <w:szCs w:val="17"/>
        </w:rPr>
        <w:t xml:space="preserve">Figura 6. Análise fatorial confirmatória (DWLS): cargas padronizadas por item nas seis subescalas do BRUMS.</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2400"/>
        <w:gridCol w:w="2400"/>
        <w:gridCol w:w="18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Nível</w:t>
            </w:r>
          </w:p>
        </w:tc>
        <w:tc>
          <w:tcPr>
            <w:tcW w:type="dxa" w:w="2400"/>
            <w:shd w:fill="EAF1F7" w:color="auto" w:val="clear"/>
            <w:tcMar>
              <w:top w:type="dxa" w:w="40"/>
              <w:left w:type="dxa" w:w="90"/>
              <w:bottom w:type="dxa" w:w="40"/>
              <w:right w:type="dxa" w:w="90"/>
            </w:tcMar>
          </w:tcPr>
          <w:p>
            <w:pPr>
              <w:spacing w:after="0" w:line="240"/>
              <w:jc w:val="left"/>
            </w:pPr>
            <w:r>
              <w:rPr>
                <w:b/>
                <w:bCs/>
                <w:color w:val="16273D"/>
                <w:sz w:val="17"/>
                <w:szCs w:val="17"/>
              </w:rPr>
              <w:t xml:space="preserve">Índice</w:t>
            </w:r>
          </w:p>
        </w:tc>
        <w:tc>
          <w:tcPr>
            <w:tcW w:type="dxa" w:w="2400"/>
            <w:shd w:fill="EAF1F7" w:color="auto" w:val="clear"/>
            <w:tcMar>
              <w:top w:type="dxa" w:w="40"/>
              <w:left w:type="dxa" w:w="90"/>
              <w:bottom w:type="dxa" w:w="40"/>
              <w:right w:type="dxa" w:w="90"/>
            </w:tcMar>
          </w:tcPr>
          <w:p>
            <w:pPr>
              <w:spacing w:after="0" w:line="240"/>
              <w:jc w:val="right"/>
            </w:pPr>
            <w:r>
              <w:rPr>
                <w:b/>
                <w:bCs/>
                <w:color w:val="16273D"/>
                <w:sz w:val="17"/>
                <w:szCs w:val="17"/>
              </w:rPr>
              <w:t xml:space="preserve">Valor</w:t>
            </w:r>
          </w:p>
        </w:tc>
        <w:tc>
          <w:tcPr>
            <w:tcW w:type="dxa" w:w="1800"/>
            <w:shd w:fill="EAF1F7" w:color="auto" w:val="clear"/>
            <w:tcMar>
              <w:top w:type="dxa" w:w="40"/>
              <w:left w:type="dxa" w:w="90"/>
              <w:bottom w:type="dxa" w:w="40"/>
              <w:right w:type="dxa" w:w="90"/>
            </w:tcMar>
          </w:tcPr>
          <w:p>
            <w:pPr>
              <w:spacing w:after="0" w:line="240"/>
              <w:jc w:val="left"/>
            </w:pPr>
            <w:r>
              <w:rPr>
                <w:b/>
                <w:bCs/>
                <w:color w:val="16273D"/>
                <w:sz w:val="17"/>
                <w:szCs w:val="17"/>
              </w:rPr>
              <w:t xml:space="preserve">Veredito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Configural</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CFI pré/pós</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0,92 / 0,91</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equivalente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Métrica (conjunta)</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ΔCFI</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-0,004</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sustentada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Métrica</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Tucker φ</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0,992</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φ ≥ 0,95</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Escalar</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viés residual RMS</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0,135</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aproximada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Estrita (resíduos)</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ΔCFI</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-0,015</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no limite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Parcial</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RMS (full→parcial)</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0,135 → 0,064</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restabelece</w:t>
            </w:r>
          </w:p>
        </w:tc>
      </w:tr>
    </w:tbl>
    <w:p>
      <w:pPr>
        <w:spacing w:after="180" w:before="60"/>
      </w:pPr>
      <w:r>
        <w:rPr>
          <w:i/>
          <w:iCs/>
          <w:color w:val="5B6B82"/>
          <w:sz w:val="17"/>
          <w:szCs w:val="17"/>
        </w:rPr>
        <w:t xml:space="preserve">Tabela 12. Hierarquia de invariância de medida pré→pós (4 fatores confiáveis).</w:t>
      </w:r>
    </w:p>
    <w:p>
      <w:pPr>
        <w:spacing w:after="40" w:before="120"/>
        <w:jc w:val="center"/>
      </w:pPr>
      <w:r>
        <w:drawing>
          <wp:inline distT="0" distB="0" distL="0" distR="0">
            <wp:extent cx="58483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276475"/>
                    </a:xfrm>
                    <a:prstGeom prst="rect">
                      <a:avLst/>
                    </a:prstGeom>
                  </pic:spPr>
                </pic:pic>
              </a:graphicData>
            </a:graphic>
          </wp:inline>
        </w:drawing>
      </w:r>
    </w:p>
    <w:p>
      <w:pPr>
        <w:spacing w:after="180" w:before="60"/>
      </w:pPr>
      <w:r>
        <w:rPr>
          <w:i/>
          <w:iCs/>
          <w:color w:val="5B6B82"/>
          <w:sz w:val="17"/>
          <w:szCs w:val="17"/>
        </w:rPr>
        <w:t xml:space="preserve">Figura 7. Invariância estrita e parcial: diagnóstico de não-invariância por item (esq.) e CFI ao longo da hierarquia (dir.).</w:t>
      </w:r>
    </w:p>
    <w:p>
      <w:pPr>
        <w:pStyle w:val="Heading2"/>
        <w:spacing w:after="120" w:before="280"/>
      </w:pPr>
      <w:r>
        <w:t xml:space="preserve">3.4. Diagnóstico, predição e monitoramento</w:t>
      </w:r>
    </w:p>
    <w:p>
      <w:pPr>
        <w:pStyle w:val="Heading3"/>
        <w:spacing w:after="120" w:before="280"/>
      </w:pPr>
      <w:r>
        <w:t xml:space="preserve">3.4.1. Capacidade diagnóstica: ROC de níveis e de derivadas</w:t>
      </w:r>
    </w:p>
    <w:p>
      <w:pPr>
        <w:spacing w:after="140" w:before="0" w:line="300"/>
        <w:jc w:val="both"/>
      </w:pPr>
      <w:r>
        <w:t xml:space="preserve">Para separar o pós do pré-treino, apenas a fadiga física alcança discriminação moderada (Tabela 13; AUC 0,70); as demais ficam próximas de 0,5. Usando a derivada aguda (Δ pós−pré) em vez do nível, a discriminação não melhora (ganho ≈ 0 ou negativo; Tabela 14): a taxa de variação diagnostica menos que o nível.</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2100"/>
        <w:gridCol w:w="1900"/>
        <w:gridCol w:w="1150"/>
        <w:gridCol w:w="115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10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 (pós vs. pré)</w:t>
            </w:r>
          </w:p>
        </w:tc>
        <w:tc>
          <w:tcPr>
            <w:tcW w:type="dxa" w:w="19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w:t>
            </w:r>
          </w:p>
        </w:tc>
        <w:tc>
          <w:tcPr>
            <w:tcW w:type="dxa" w:w="1150"/>
            <w:shd w:fill="EAF1F7" w:color="auto" w:val="clear"/>
            <w:tcMar>
              <w:top w:type="dxa" w:w="40"/>
              <w:left w:type="dxa" w:w="90"/>
              <w:bottom w:type="dxa" w:w="40"/>
              <w:right w:type="dxa" w:w="90"/>
            </w:tcMar>
          </w:tcPr>
          <w:p>
            <w:pPr>
              <w:spacing w:after="0" w:line="240"/>
              <w:jc w:val="right"/>
            </w:pPr>
            <w:r>
              <w:rPr>
                <w:b/>
                <w:bCs/>
                <w:color w:val="16273D"/>
                <w:sz w:val="17"/>
                <w:szCs w:val="17"/>
              </w:rPr>
              <w:t xml:space="preserve">Sensib.</w:t>
            </w:r>
          </w:p>
        </w:tc>
        <w:tc>
          <w:tcPr>
            <w:tcW w:type="dxa" w:w="1150"/>
            <w:shd w:fill="EAF1F7" w:color="auto" w:val="clear"/>
            <w:tcMar>
              <w:top w:type="dxa" w:w="40"/>
              <w:left w:type="dxa" w:w="90"/>
              <w:bottom w:type="dxa" w:w="40"/>
              <w:right w:type="dxa" w:w="90"/>
            </w:tcMar>
          </w:tcPr>
          <w:p>
            <w:pPr>
              <w:spacing w:after="0" w:line="240"/>
              <w:jc w:val="right"/>
            </w:pPr>
            <w:r>
              <w:rPr>
                <w:b/>
                <w:bCs/>
                <w:color w:val="16273D"/>
                <w:sz w:val="17"/>
                <w:szCs w:val="17"/>
              </w:rPr>
              <w:t xml:space="preserve">Especif.</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0,70</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[0,64; 0,77]</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0,60</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[0,54; 0,69]</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0,79</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0,40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[0,55; 0,68]</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[0,52; 0,65]</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0,24</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0,88</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[0,51; 0,60]</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0,76</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0,59]</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0,64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0,57]</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0,23</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0,83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0,58]</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0,37</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0,51</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0,56]</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0,22</w:t>
            </w:r>
          </w:p>
        </w:tc>
      </w:tr>
    </w:tbl>
    <w:p>
      <w:pPr>
        <w:spacing w:after="180" w:before="60"/>
      </w:pPr>
      <w:r>
        <w:rPr>
          <w:i/>
          <w:iCs/>
          <w:color w:val="5B6B82"/>
          <w:sz w:val="17"/>
          <w:szCs w:val="17"/>
        </w:rPr>
        <w:t xml:space="preserve">Tabela 13. Capacidade diagnóstica (ROC) para separar pós de pré-treino (IC95% por bootstrap agrupado por atleta).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2340"/>
        <w:gridCol w:w="2340"/>
        <w:gridCol w:w="132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 (nível)</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 (derivada)</w:t>
            </w:r>
          </w:p>
        </w:tc>
        <w:tc>
          <w:tcPr>
            <w:tcW w:type="dxa" w:w="1320"/>
            <w:shd w:fill="EAF1F7" w:color="auto" w:val="clear"/>
            <w:tcMar>
              <w:top w:type="dxa" w:w="40"/>
              <w:left w:type="dxa" w:w="90"/>
              <w:bottom w:type="dxa" w:w="40"/>
              <w:right w:type="dxa" w:w="90"/>
            </w:tcMar>
          </w:tcPr>
          <w:p>
            <w:pPr>
              <w:spacing w:after="0" w:line="240"/>
              <w:jc w:val="right"/>
            </w:pPr>
            <w:r>
              <w:rPr>
                <w:b/>
                <w:bCs/>
                <w:color w:val="16273D"/>
                <w:sz w:val="17"/>
                <w:szCs w:val="17"/>
              </w:rPr>
              <w:t xml:space="preserve">Ganho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0,59</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+0,01</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-0,02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-0,04</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0,50</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-0,02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0,60</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0,50</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-0,10</w:t>
            </w:r>
          </w:p>
        </w:tc>
      </w:tr>
    </w:tbl>
    <w:p>
      <w:pPr>
        <w:spacing w:after="180" w:before="60"/>
      </w:pPr>
      <w:r>
        <w:rPr>
          <w:i/>
          <w:iCs/>
          <w:color w:val="5B6B82"/>
          <w:sz w:val="17"/>
          <w:szCs w:val="17"/>
        </w:rPr>
        <w:t xml:space="preserve">Tabela 14. ROC das derivadas (dia de HIIT vs. sem HIIT): a derivada não supera o nível (ganho ≤ 0).</w:t>
      </w:r>
    </w:p>
    <w:p>
      <w:pPr>
        <w:spacing w:after="40" w:before="120"/>
        <w:jc w:val="center"/>
      </w:pPr>
      <w:r>
        <w:drawing>
          <wp:inline distT="0" distB="0" distL="0" distR="0">
            <wp:extent cx="58483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5286375"/>
                    </a:xfrm>
                    <a:prstGeom prst="rect">
                      <a:avLst/>
                    </a:prstGeom>
                  </pic:spPr>
                </pic:pic>
              </a:graphicData>
            </a:graphic>
          </wp:inline>
        </w:drawing>
      </w:r>
    </w:p>
    <w:p>
      <w:pPr>
        <w:spacing w:after="180" w:before="60"/>
      </w:pPr>
      <w:r>
        <w:rPr>
          <w:i/>
          <w:iCs/>
          <w:color w:val="5B6B82"/>
          <w:sz w:val="17"/>
          <w:szCs w:val="17"/>
        </w:rPr>
        <w:t xml:space="preserve">Figura 8. Curvas ROC para separar o estado pós do pré-treino por variável.</w:t>
      </w:r>
    </w:p>
    <w:p>
      <w:pPr>
        <w:pStyle w:val="Heading3"/>
        <w:spacing w:after="120" w:before="280"/>
      </w:pPr>
      <w:r>
        <w:t xml:space="preserve">3.4.2. Velocidade de mudança e formalização em cálculo</w:t>
      </w:r>
    </w:p>
    <w:p>
      <w:pPr>
        <w:spacing w:after="140" w:before="0" w:line="300"/>
        <w:jc w:val="both"/>
      </w:pPr>
      <w:r>
        <w:t xml:space="preserve">A velocidade de mudança por variável confirma o acúmulo (Tabela 15). Formalizando a trajetória da fadiga física média diária por um modelo saturante f(t) = L − (L − f₁)·e^(−k(t−1)) (L = 6,78; k = 0,76; R² = 0,76), a derivada f′(t) é a velocidade de acúmulo, f″(t) &lt; 0 indica saturação e o limite lim(t→∞) f(t) = L formaliza o estado estacionário (Tabela 16; Figura 9).</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560"/>
        <w:gridCol w:w="1560"/>
        <w:gridCol w:w="1560"/>
        <w:gridCol w:w="1920"/>
        <w:gridCol w:w="144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560"/>
            <w:shd w:fill="EAF1F7" w:color="auto" w:val="clear"/>
            <w:tcMar>
              <w:top w:type="dxa" w:w="40"/>
              <w:left w:type="dxa" w:w="90"/>
              <w:bottom w:type="dxa" w:w="40"/>
              <w:right w:type="dxa" w:w="90"/>
            </w:tcMar>
          </w:tcPr>
          <w:p>
            <w:pPr>
              <w:spacing w:after="0" w:line="240"/>
              <w:jc w:val="right"/>
            </w:pPr>
            <w:r>
              <w:rPr>
                <w:b/>
                <w:bCs/>
                <w:color w:val="16273D"/>
                <w:sz w:val="17"/>
                <w:szCs w:val="17"/>
              </w:rPr>
              <w:t xml:space="preserve">Vel. inicial</w:t>
            </w:r>
          </w:p>
        </w:tc>
        <w:tc>
          <w:tcPr>
            <w:tcW w:type="dxa" w:w="1560"/>
            <w:shd w:fill="EAF1F7" w:color="auto" w:val="clear"/>
            <w:tcMar>
              <w:top w:type="dxa" w:w="40"/>
              <w:left w:type="dxa" w:w="90"/>
              <w:bottom w:type="dxa" w:w="40"/>
              <w:right w:type="dxa" w:w="90"/>
            </w:tcMar>
          </w:tcPr>
          <w:p>
            <w:pPr>
              <w:spacing w:after="0" w:line="240"/>
              <w:jc w:val="right"/>
            </w:pPr>
            <w:r>
              <w:rPr>
                <w:b/>
                <w:bCs/>
                <w:color w:val="16273D"/>
                <w:sz w:val="17"/>
                <w:szCs w:val="17"/>
              </w:rPr>
              <w:t xml:space="preserve">Vel. final</w:t>
            </w:r>
          </w:p>
        </w:tc>
        <w:tc>
          <w:tcPr>
            <w:tcW w:type="dxa" w:w="1560"/>
            <w:shd w:fill="EAF1F7" w:color="auto" w:val="clear"/>
            <w:tcMar>
              <w:top w:type="dxa" w:w="40"/>
              <w:left w:type="dxa" w:w="90"/>
              <w:bottom w:type="dxa" w:w="40"/>
              <w:right w:type="dxa" w:w="90"/>
            </w:tcMar>
          </w:tcPr>
          <w:p>
            <w:pPr>
              <w:spacing w:after="0" w:line="240"/>
              <w:jc w:val="right"/>
            </w:pPr>
            <w:r>
              <w:rPr>
                <w:b/>
                <w:bCs/>
                <w:color w:val="16273D"/>
                <w:sz w:val="17"/>
                <w:szCs w:val="17"/>
              </w:rPr>
              <w:t xml:space="preserve">Dia vel. máx.</w:t>
            </w:r>
          </w:p>
        </w:tc>
        <w:tc>
          <w:tcPr>
            <w:tcW w:type="dxa" w:w="1920"/>
            <w:shd w:fill="EAF1F7" w:color="auto" w:val="clear"/>
            <w:tcMar>
              <w:top w:type="dxa" w:w="40"/>
              <w:left w:type="dxa" w:w="90"/>
              <w:bottom w:type="dxa" w:w="40"/>
              <w:right w:type="dxa" w:w="90"/>
            </w:tcMar>
          </w:tcPr>
          <w:p>
            <w:pPr>
              <w:spacing w:after="0" w:line="240"/>
              <w:jc w:val="right"/>
            </w:pPr>
            <w:r>
              <w:rPr>
                <w:b/>
                <w:bCs/>
                <w:color w:val="16273D"/>
                <w:sz w:val="17"/>
                <w:szCs w:val="17"/>
              </w:rPr>
              <w:t xml:space="preserve">Inclinação média</w:t>
            </w:r>
          </w:p>
        </w:tc>
        <w:tc>
          <w:tcPr>
            <w:tcW w:type="dxa" w:w="1440"/>
            <w:shd w:fill="EAF1F7" w:color="auto" w:val="clear"/>
            <w:tcMar>
              <w:top w:type="dxa" w:w="40"/>
              <w:left w:type="dxa" w:w="90"/>
              <w:bottom w:type="dxa" w:w="40"/>
              <w:right w:type="dxa" w:w="90"/>
            </w:tcMar>
          </w:tcPr>
          <w:p>
            <w:pPr>
              <w:spacing w:after="0" w:line="240"/>
              <w:jc w:val="left"/>
            </w:pPr>
            <w:r>
              <w:rPr>
                <w:b/>
                <w:bCs/>
                <w:color w:val="16273D"/>
                <w:sz w:val="17"/>
                <w:szCs w:val="17"/>
              </w:rPr>
              <w:t xml:space="preserve">Direção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+4,83</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+6,07</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7</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acumula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+2,44</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+1,72</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acumula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+2,49</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+2,23</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acumula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+0,16</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+0,67</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7</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+0,03</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estável</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-2,72</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-1,75</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-0,28</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cai</w:t>
            </w:r>
          </w:p>
        </w:tc>
      </w:tr>
    </w:tbl>
    <w:p>
      <w:pPr>
        <w:spacing w:after="180" w:before="60"/>
      </w:pPr>
      <w:r>
        <w:rPr>
          <w:i/>
          <w:iCs/>
          <w:color w:val="5B6B82"/>
          <w:sz w:val="17"/>
          <w:szCs w:val="17"/>
        </w:rPr>
        <w:t xml:space="preserve">Tabela 15. Velocidade de mudança por variável ao longo do microciclo (derivadas discretas).</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340"/>
        <w:gridCol w:w="2340"/>
        <w:gridCol w:w="2340"/>
        <w:gridCol w:w="2340"/>
      </w:tblGrid>
      <w:tr>
        <w:trPr>
          <w:tblHeader/>
        </w:trPr>
        <w:tc>
          <w:tcPr>
            <w:tcW w:type="dxa" w:w="2340"/>
            <w:shd w:fill="EAF1F7" w:color="auto" w:val="clear"/>
            <w:tcMar>
              <w:top w:type="dxa" w:w="40"/>
              <w:left w:type="dxa" w:w="90"/>
              <w:bottom w:type="dxa" w:w="40"/>
              <w:right w:type="dxa" w:w="90"/>
            </w:tcMar>
          </w:tcPr>
          <w:p>
            <w:pPr>
              <w:spacing w:after="0" w:line="240"/>
              <w:jc w:val="left"/>
            </w:pPr>
            <w:r>
              <w:rPr>
                <w:b/>
                <w:bCs/>
                <w:color w:val="16273D"/>
                <w:sz w:val="17"/>
                <w:szCs w:val="17"/>
              </w:rPr>
              <w:t xml:space="preserve">Dia (t)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1</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4,29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+1,90</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-1,44</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5,62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+0,89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-0,68</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6,24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+0,41</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-0,32</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6,53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+0,19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-0,15</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5</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6,67</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-0,07</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6</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6,73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-0,03</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7</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6,76</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-0,01</w:t>
            </w:r>
          </w:p>
        </w:tc>
      </w:tr>
    </w:tbl>
    <w:p>
      <w:pPr>
        <w:spacing w:after="180" w:before="60"/>
      </w:pPr>
      <w:r>
        <w:rPr>
          <w:i/>
          <w:iCs/>
          <w:color w:val="5B6B82"/>
          <w:sz w:val="17"/>
          <w:szCs w:val="17"/>
        </w:rPr>
        <w:t xml:space="preserve">Tabela 16. Função ajustada f(t), velocidade f′(t) e aceleração f″(t) por dia (fadiga física média diária).</w:t>
      </w:r>
    </w:p>
    <w:p>
      <w:pPr>
        <w:spacing w:after="40" w:before="120"/>
        <w:jc w:val="center"/>
      </w:pPr>
      <w:r>
        <w:drawing>
          <wp:inline distT="0" distB="0" distL="0" distR="0">
            <wp:extent cx="584835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4229100"/>
                    </a:xfrm>
                    <a:prstGeom prst="rect">
                      <a:avLst/>
                    </a:prstGeom>
                  </pic:spPr>
                </pic:pic>
              </a:graphicData>
            </a:graphic>
          </wp:inline>
        </w:drawing>
      </w:r>
    </w:p>
    <w:p>
      <w:pPr>
        <w:spacing w:after="180" w:before="60"/>
      </w:pPr>
      <w:r>
        <w:rPr>
          <w:i/>
          <w:iCs/>
          <w:color w:val="5B6B82"/>
          <w:sz w:val="17"/>
          <w:szCs w:val="17"/>
        </w:rPr>
        <w:t xml:space="preserve">Figura 9. Limites e derivadas da trajetória de fadiga: ajuste saturante, velocidade de acúmulo e limite estacionário.</w:t>
      </w:r>
    </w:p>
    <w:p>
      <w:pPr>
        <w:pStyle w:val="Heading3"/>
        <w:spacing w:after="120" w:before="280"/>
      </w:pPr>
      <w:r>
        <w:t xml:space="preserve">3.4.3. Predição fora da amostra (leave-one-athlete-out)</w:t>
      </w:r>
    </w:p>
    <w:p>
      <w:pPr>
        <w:spacing w:after="140" w:before="0" w:line="300"/>
        <w:jc w:val="both"/>
      </w:pPr>
      <w:r>
        <w:t xml:space="preserve">Com validação leave-one-athlete-out, o estado pós é modestamente previsível e o sinal vem do baseline do próprio atleta; adicionar o contexto da sessão ao baseline altera o R² em ≈ 0 — confirmação preditiva do desacoplamento carga↔humor (Tabela 17).</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2760"/>
        <w:gridCol w:w="1280"/>
        <w:gridCol w:w="1280"/>
        <w:gridCol w:w="128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Desfecho</w:t>
            </w:r>
          </w:p>
        </w:tc>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Preditores</w:t>
            </w:r>
          </w:p>
        </w:tc>
        <w:tc>
          <w:tcPr>
            <w:tcW w:type="dxa" w:w="128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 (OOF)</w:t>
            </w:r>
          </w:p>
        </w:tc>
        <w:tc>
          <w:tcPr>
            <w:tcW w:type="dxa" w:w="1280"/>
            <w:shd w:fill="EAF1F7" w:color="auto" w:val="clear"/>
            <w:tcMar>
              <w:top w:type="dxa" w:w="40"/>
              <w:left w:type="dxa" w:w="90"/>
              <w:bottom w:type="dxa" w:w="40"/>
              <w:right w:type="dxa" w:w="90"/>
            </w:tcMar>
          </w:tcPr>
          <w:p>
            <w:pPr>
              <w:spacing w:after="0" w:line="240"/>
              <w:jc w:val="right"/>
            </w:pPr>
            <w:r>
              <w:rPr>
                <w:b/>
                <w:bCs/>
                <w:color w:val="16273D"/>
                <w:sz w:val="17"/>
                <w:szCs w:val="17"/>
              </w:rPr>
              <w:t xml:space="preserve">RMSE</w:t>
            </w:r>
          </w:p>
        </w:tc>
        <w:tc>
          <w:tcPr>
            <w:tcW w:type="dxa" w:w="1280"/>
            <w:shd w:fill="EAF1F7" w:color="auto" w:val="clear"/>
            <w:tcMar>
              <w:top w:type="dxa" w:w="40"/>
              <w:left w:type="dxa" w:w="90"/>
              <w:bottom w:type="dxa" w:w="40"/>
              <w:right w:type="dxa" w:w="90"/>
            </w:tcMar>
          </w:tcPr>
          <w:p>
            <w:pPr>
              <w:spacing w:after="0" w:line="240"/>
              <w:jc w:val="left"/>
            </w:pPr>
            <w:r>
              <w:rPr>
                <w:b/>
                <w:bCs/>
                <w:color w:val="16273D"/>
                <w:sz w:val="17"/>
                <w:szCs w:val="17"/>
              </w:rPr>
              <w:t xml:space="preserve">Modelo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Baseline (pré)</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0,37</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8,27</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Perfil pré completo</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8,19</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Baseline (pré)</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1,94</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Perfil pré completo</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0,22</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RandomForest</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Baseline (pré)</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0,36</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2,50</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Perfil pré completo</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0,29</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2,63</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bl>
    <w:p>
      <w:pPr>
        <w:spacing w:after="180" w:before="60"/>
      </w:pPr>
      <w:r>
        <w:rPr>
          <w:i/>
          <w:iCs/>
          <w:color w:val="5B6B82"/>
          <w:sz w:val="17"/>
          <w:szCs w:val="17"/>
        </w:rPr>
        <w:t xml:space="preserve">Tabela 17. Validação preditiva leave-one-athlete-out: R² fora da amostra por desfecho.</w:t>
      </w:r>
    </w:p>
    <w:p>
      <w:pPr>
        <w:pStyle w:val="Heading3"/>
        <w:spacing w:after="120" w:before="280"/>
      </w:pPr>
      <w:r>
        <w:t xml:space="preserve">3.4.4. Carga interna × humor e preditores de estado de fadiga</w:t>
      </w:r>
    </w:p>
    <w:p>
      <w:pPr>
        <w:spacing w:after="140" w:before="0" w:line="300"/>
        <w:jc w:val="both"/>
      </w:pPr>
      <w:r>
        <w:t xml:space="preserve">A carga interna (PSE, FC, TRIMP) mostra-se desacoplada do perfil de humor: nenhum par carga × humor sobrevive à FDR. Entre as variáveis de humor, os preditores de fadiga alta vs. baixa (Tabela 18; Figura 10): a fadiga física é a mais sensível (AUC 0,90; ICC 0,28 — estado-lábil), a fadiga mental e a depressão são sensíveis e estáveis, e a tensão é confiável mas cega à fadiga.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960"/>
        <w:gridCol w:w="1180"/>
        <w:gridCol w:w="1900"/>
        <w:gridCol w:w="1080"/>
        <w:gridCol w:w="1080"/>
        <w:gridCol w:w="1160"/>
      </w:tblGrid>
      <w:tr>
        <w:trPr>
          <w:tblHeader/>
        </w:trPr>
        <w:tc>
          <w:tcPr>
            <w:tcW w:type="dxa" w:w="2960"/>
            <w:shd w:fill="EAF1F7" w:color="auto" w:val="clear"/>
            <w:tcMar>
              <w:top w:type="dxa" w:w="40"/>
              <w:left w:type="dxa" w:w="90"/>
              <w:bottom w:type="dxa" w:w="40"/>
              <w:right w:type="dxa" w:w="90"/>
            </w:tcMar>
          </w:tcPr>
          <w:p>
            <w:pPr>
              <w:spacing w:after="0" w:line="240"/>
              <w:jc w:val="left"/>
            </w:pPr>
            <w:r>
              <w:rPr>
                <w:b/>
                <w:bCs/>
                <w:color w:val="16273D"/>
                <w:sz w:val="17"/>
                <w:szCs w:val="17"/>
              </w:rPr>
              <w:t xml:space="preserve">Preditor</w:t>
            </w:r>
          </w:p>
        </w:tc>
        <w:tc>
          <w:tcPr>
            <w:tcW w:type="dxa" w:w="118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w:t>
            </w:r>
          </w:p>
        </w:tc>
        <w:tc>
          <w:tcPr>
            <w:tcW w:type="dxa" w:w="19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Sensib.</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Especif.</w:t>
            </w:r>
          </w:p>
        </w:tc>
        <w:tc>
          <w:tcPr>
            <w:tcW w:type="dxa" w:w="116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ICC(2,1)</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0,90</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[0,84; 0,95]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0,83</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0,28</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[0,56; 0,90]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0,72</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0,75</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[0,64; 0,85]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0,48</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0,71</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[0,59; 0,80]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0,79</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0,67</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[0,57; 0,77]</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0,19</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0,66]</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0,41</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0,68]</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0,83</w:t>
            </w:r>
          </w:p>
        </w:tc>
      </w:tr>
    </w:tbl>
    <w:p>
      <w:pPr>
        <w:spacing w:after="180" w:before="60"/>
      </w:pPr>
      <w:r>
        <w:rPr>
          <w:i/>
          <w:iCs/>
          <w:color w:val="5B6B82"/>
          <w:sz w:val="17"/>
          <w:szCs w:val="17"/>
        </w:rPr>
        <w:t xml:space="preserve">Tabela 18. Preditores de estado de fadiga alta vs. baixa: sensibilidade (AUC, Youden) e confiabilidade (ICC 2,1).</w:t>
      </w:r>
    </w:p>
    <w:p>
      <w:pPr>
        <w:spacing w:after="40" w:before="120"/>
        <w:jc w:val="center"/>
      </w:pPr>
      <w:r>
        <w:drawing>
          <wp:inline distT="0" distB="0" distL="0" distR="0">
            <wp:extent cx="58483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600325"/>
                    </a:xfrm>
                    <a:prstGeom prst="rect">
                      <a:avLst/>
                    </a:prstGeom>
                  </pic:spPr>
                </pic:pic>
              </a:graphicData>
            </a:graphic>
          </wp:inline>
        </w:drawing>
      </w:r>
    </w:p>
    <w:p>
      <w:pPr>
        <w:spacing w:after="180" w:before="60"/>
      </w:pPr>
      <w:r>
        <w:rPr>
          <w:i/>
          <w:iCs/>
          <w:color w:val="5B6B82"/>
          <w:sz w:val="17"/>
          <w:szCs w:val="17"/>
        </w:rPr>
        <w:t xml:space="preserve">Figura 10. Acoplamento carga × humor (tônico e agudo, com FDR) e preditores de estado de fadiga (sensibilidade × confiabilidade).</w:t>
      </w:r>
    </w:p>
    <w:p>
      <w:pPr>
        <w:pStyle w:val="Heading3"/>
        <w:spacing w:after="120" w:before="280"/>
      </w:pPr>
      <w:r>
        <w:t xml:space="preserve">3.4.5. Segmentação dos atletas e decomposição da variância</w:t>
      </w:r>
    </w:p>
    <w:p>
      <w:pPr>
        <w:spacing w:after="140" w:before="0" w:line="300"/>
        <w:jc w:val="both"/>
      </w:pPr>
      <w:r>
        <w:t xml:space="preserve">A resposta é fortemente individual. Uma segmentação por k-means separa resiliente (n=20), perturbado (n=6), extremo (n=1); o grupo explica η² = 0,696 da variância do PTH (Tabela 19). A decomposição de variância mostra que a maior parte é entre atletas (traço) em quase todas as dimensões (Tabela 20).</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1900"/>
        <w:gridCol w:w="760"/>
        <w:gridCol w:w="1120"/>
        <w:gridCol w:w="1120"/>
        <w:gridCol w:w="1120"/>
        <w:gridCol w:w="1120"/>
        <w:gridCol w:w="1120"/>
        <w:gridCol w:w="1100"/>
      </w:tblGrid>
      <w:tr>
        <w:trPr>
          <w:tblHeader/>
        </w:trPr>
        <w:tc>
          <w:tcPr>
            <w:tcW w:type="dxa" w:w="1900"/>
            <w:shd w:fill="EAF1F7" w:color="auto" w:val="clear"/>
            <w:tcMar>
              <w:top w:type="dxa" w:w="40"/>
              <w:left w:type="dxa" w:w="90"/>
              <w:bottom w:type="dxa" w:w="40"/>
              <w:right w:type="dxa" w:w="90"/>
            </w:tcMar>
          </w:tcPr>
          <w:p>
            <w:pPr>
              <w:spacing w:after="0" w:line="240"/>
              <w:jc w:val="left"/>
            </w:pPr>
            <w:r>
              <w:rPr>
                <w:b/>
                <w:bCs/>
                <w:color w:val="16273D"/>
                <w:sz w:val="17"/>
                <w:szCs w:val="17"/>
              </w:rPr>
              <w:t xml:space="preserve">Grupo</w:t>
            </w:r>
          </w:p>
        </w:tc>
        <w:tc>
          <w:tcPr>
            <w:tcW w:type="dxa" w:w="760"/>
            <w:shd w:fill="EAF1F7" w:color="auto" w:val="clear"/>
            <w:tcMar>
              <w:top w:type="dxa" w:w="40"/>
              <w:left w:type="dxa" w:w="90"/>
              <w:bottom w:type="dxa" w:w="40"/>
              <w:right w:type="dxa" w:w="90"/>
            </w:tcMar>
          </w:tcPr>
          <w:p>
            <w:pPr>
              <w:spacing w:after="0" w:line="240"/>
              <w:jc w:val="right"/>
            </w:pPr>
            <w:r>
              <w:rPr>
                <w:b/>
                <w:bCs/>
                <w:color w:val="16273D"/>
                <w:sz w:val="17"/>
                <w:szCs w:val="17"/>
              </w:rPr>
              <w:t xml:space="preserve">n</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Tensão</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Depressão</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Raiva</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Vigor</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Fadiga</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Confusão</w:t>
            </w:r>
          </w:p>
        </w:tc>
      </w:tr>
      <w:tr>
        <w:tc>
          <w:tcPr>
            <w:tcW w:type="dxa" w:w="1900"/>
            <w:tcMar>
              <w:top w:type="dxa" w:w="40"/>
              <w:left w:type="dxa" w:w="90"/>
              <w:bottom w:type="dxa" w:w="40"/>
              <w:right w:type="dxa" w:w="90"/>
            </w:tcMar>
          </w:tcPr>
          <w:p>
            <w:pPr>
              <w:spacing w:after="0" w:line="240"/>
              <w:jc w:val="left"/>
            </w:pPr>
            <w:r>
              <w:rPr>
                <w:b w:val="false"/>
                <w:bCs w:val="false"/>
                <w:sz w:val="17"/>
                <w:szCs w:val="17"/>
              </w:rPr>
              <w:t xml:space="preserve">Resiliente</w:t>
            </w:r>
          </w:p>
        </w:tc>
        <w:tc>
          <w:tcPr>
            <w:tcW w:type="dxa" w:w="760"/>
            <w:tcMar>
              <w:top w:type="dxa" w:w="40"/>
              <w:left w:type="dxa" w:w="90"/>
              <w:bottom w:type="dxa" w:w="40"/>
              <w:right w:type="dxa" w:w="90"/>
            </w:tcMar>
          </w:tcPr>
          <w:p>
            <w:pPr>
              <w:spacing w:after="0" w:line="240"/>
              <w:jc w:val="right"/>
            </w:pPr>
            <w:r>
              <w:rPr>
                <w:b w:val="false"/>
                <w:bCs w:val="false"/>
                <w:sz w:val="17"/>
                <w:szCs w:val="17"/>
              </w:rPr>
              <w:t xml:space="preserve">20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-0,41</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+0,03</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-0,29</w:t>
            </w:r>
          </w:p>
        </w:tc>
      </w:tr>
      <w:tr>
        <w:tc>
          <w:tcPr>
            <w:tcW w:type="dxa" w:w="1900"/>
            <w:tcMar>
              <w:top w:type="dxa" w:w="40"/>
              <w:left w:type="dxa" w:w="90"/>
              <w:bottom w:type="dxa" w:w="40"/>
              <w:right w:type="dxa" w:w="90"/>
            </w:tcMar>
          </w:tcPr>
          <w:p>
            <w:pPr>
              <w:spacing w:after="0" w:line="240"/>
              <w:jc w:val="left"/>
            </w:pPr>
            <w:r>
              <w:rPr>
                <w:b w:val="false"/>
                <w:bCs w:val="false"/>
                <w:sz w:val="17"/>
                <w:szCs w:val="17"/>
              </w:rPr>
              <w:t xml:space="preserve">Perturbado</w:t>
            </w:r>
          </w:p>
        </w:tc>
        <w:tc>
          <w:tcPr>
            <w:tcW w:type="dxa" w:w="760"/>
            <w:tcMar>
              <w:top w:type="dxa" w:w="40"/>
              <w:left w:type="dxa" w:w="90"/>
              <w:bottom w:type="dxa" w:w="40"/>
              <w:right w:type="dxa" w:w="90"/>
            </w:tcMar>
          </w:tcPr>
          <w:p>
            <w:pPr>
              <w:spacing w:after="0" w:line="240"/>
              <w:jc w:val="right"/>
            </w:pPr>
            <w:r>
              <w:rPr>
                <w:b w:val="false"/>
                <w:bCs w:val="false"/>
                <w:sz w:val="17"/>
                <w:szCs w:val="17"/>
              </w:rPr>
              <w:t xml:space="preserve">6</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+1,21</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+1,15</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+0,17</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+0,42</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+0,36</w:t>
            </w:r>
          </w:p>
        </w:tc>
      </w:tr>
      <w:tr>
        <w:tc>
          <w:tcPr>
            <w:tcW w:type="dxa" w:w="1900"/>
            <w:tcMar>
              <w:top w:type="dxa" w:w="40"/>
              <w:left w:type="dxa" w:w="90"/>
              <w:bottom w:type="dxa" w:w="40"/>
              <w:right w:type="dxa" w:w="90"/>
            </w:tcMar>
          </w:tcPr>
          <w:p>
            <w:pPr>
              <w:spacing w:after="0" w:line="240"/>
              <w:jc w:val="left"/>
            </w:pPr>
            <w:r>
              <w:rPr>
                <w:b w:val="false"/>
                <w:bCs w:val="false"/>
                <w:sz w:val="17"/>
                <w:szCs w:val="17"/>
              </w:rPr>
              <w:t xml:space="preserve">Extremo</w:t>
            </w:r>
          </w:p>
        </w:tc>
        <w:tc>
          <w:tcPr>
            <w:tcW w:type="dxa" w:w="760"/>
            <w:tcMar>
              <w:top w:type="dxa" w:w="40"/>
              <w:left w:type="dxa" w:w="90"/>
              <w:bottom w:type="dxa" w:w="40"/>
              <w:right w:type="dxa" w:w="90"/>
            </w:tcMar>
          </w:tcPr>
          <w:p>
            <w:pPr>
              <w:spacing w:after="0" w:line="240"/>
              <w:jc w:val="right"/>
            </w:pPr>
            <w:r>
              <w:rPr>
                <w:b w:val="false"/>
                <w:bCs w:val="false"/>
                <w:sz w:val="17"/>
                <w:szCs w:val="17"/>
              </w:rPr>
              <w:t xml:space="preserve">1</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+0,36</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+4,17</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+1,23</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-1,67</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+2,42</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+3,72</w:t>
            </w:r>
          </w:p>
        </w:tc>
      </w:tr>
    </w:tbl>
    <w:p>
      <w:pPr>
        <w:spacing w:after="180" w:before="60"/>
      </w:pPr>
      <w:r>
        <w:rPr>
          <w:i/>
          <w:iCs/>
          <w:color w:val="5B6B82"/>
          <w:sz w:val="17"/>
          <w:szCs w:val="17"/>
        </w:rPr>
        <w:t xml:space="preserve">Tabela 19. Segmentação (k-means) por perfil de humor padronizado (escores-z); η²(PTH) = 0,696.</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900"/>
        <w:gridCol w:w="1900"/>
        <w:gridCol w:w="1500"/>
        <w:gridCol w:w="10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900"/>
            <w:shd w:fill="EAF1F7" w:color="auto" w:val="clear"/>
            <w:tcMar>
              <w:top w:type="dxa" w:w="40"/>
              <w:left w:type="dxa" w:w="90"/>
              <w:bottom w:type="dxa" w:w="40"/>
              <w:right w:type="dxa" w:w="90"/>
            </w:tcMar>
          </w:tcPr>
          <w:p>
            <w:pPr>
              <w:spacing w:after="0" w:line="240"/>
              <w:jc w:val="right"/>
            </w:pPr>
            <w:r>
              <w:rPr>
                <w:b/>
                <w:bCs/>
                <w:color w:val="16273D"/>
                <w:sz w:val="17"/>
                <w:szCs w:val="17"/>
              </w:rPr>
              <w:t xml:space="preserve">Var. entre</w:t>
            </w:r>
          </w:p>
        </w:tc>
        <w:tc>
          <w:tcPr>
            <w:tcW w:type="dxa" w:w="1900"/>
            <w:shd w:fill="EAF1F7" w:color="auto" w:val="clear"/>
            <w:tcMar>
              <w:top w:type="dxa" w:w="40"/>
              <w:left w:type="dxa" w:w="90"/>
              <w:bottom w:type="dxa" w:w="40"/>
              <w:right w:type="dxa" w:w="90"/>
            </w:tcMar>
          </w:tcPr>
          <w:p>
            <w:pPr>
              <w:spacing w:after="0" w:line="240"/>
              <w:jc w:val="right"/>
            </w:pPr>
            <w:r>
              <w:rPr>
                <w:b/>
                <w:bCs/>
                <w:color w:val="16273D"/>
                <w:sz w:val="17"/>
                <w:szCs w:val="17"/>
              </w:rPr>
              <w:t xml:space="preserve">Var. intra</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 entre atletas</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CV intra (%)</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2,81</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1,25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69,2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80,4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3,69</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1,53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70,7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123,7</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2,56</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4,36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37,0</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130,4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6,30</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4,65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57,5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37,9</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9,60</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7,01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57,8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46,9</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0,82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41,4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200,5</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57,46</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35,13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62,1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134,9</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2,59</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3,80</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40,5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31,9</w:t>
            </w:r>
          </w:p>
        </w:tc>
      </w:tr>
    </w:tbl>
    <w:p>
      <w:pPr>
        <w:spacing w:after="180" w:before="60"/>
      </w:pPr>
      <w:r>
        <w:rPr>
          <w:i/>
          <w:iCs/>
          <w:color w:val="5B6B82"/>
          <w:sz w:val="17"/>
          <w:szCs w:val="17"/>
        </w:rPr>
        <w:t xml:space="preserve">Tabela 20. Decomposição da variância em traço (entre atletas) e estado (intra-atleta).</w:t>
      </w:r>
    </w:p>
    <w:p>
      <w:pPr>
        <w:pStyle w:val="Heading3"/>
        <w:spacing w:after="120" w:before="280"/>
      </w:pPr>
      <w:r>
        <w:t xml:space="preserve">3.4.6. Autorrelatos complementares e o item "Sonolento"</w:t>
      </w:r>
    </w:p>
    <w:p>
      <w:pPr>
        <w:spacing w:after="140" w:before="0" w:line="300"/>
        <w:jc w:val="both"/>
      </w:pPr>
      <w:r>
        <w:t xml:space="preserve">Os autorrelatos externos confirmam o eixo físico (Tabela 21). Um achado contraintuitivo: o item "Sonolento" move-se na contramão — enquanto Esgotado/Exausto/Cansado sobem, a sonolência cai (Tabela 22): o exercício agudo é ativador, o que explica a não-invariância residual localizada nesse item e recomenda tratá-lo à parte (eixo sono↔alerta).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200"/>
        <w:gridCol w:w="1200"/>
        <w:gridCol w:w="1200"/>
        <w:gridCol w:w="1200"/>
        <w:gridCol w:w="1400"/>
        <w:gridCol w:w="9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Instrumento</w:t>
            </w:r>
          </w:p>
        </w:tc>
        <w:tc>
          <w:tcPr>
            <w:tcW w:type="dxa" w:w="1200"/>
            <w:shd w:fill="EAF1F7" w:color="auto" w:val="clear"/>
            <w:tcMar>
              <w:top w:type="dxa" w:w="40"/>
              <w:left w:type="dxa" w:w="90"/>
              <w:bottom w:type="dxa" w:w="40"/>
              <w:right w:type="dxa" w:w="90"/>
            </w:tcMar>
          </w:tcPr>
          <w:p>
            <w:pPr>
              <w:spacing w:after="0" w:line="240"/>
              <w:jc w:val="left"/>
            </w:pPr>
            <w:r>
              <w:rPr>
                <w:b/>
                <w:bCs/>
                <w:color w:val="16273D"/>
                <w:sz w:val="17"/>
                <w:szCs w:val="17"/>
              </w:rPr>
              <w:t xml:space="preserve">Escala</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Pré</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Pós</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9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200"/>
            <w:tcMar>
              <w:top w:type="dxa" w:w="40"/>
              <w:left w:type="dxa" w:w="90"/>
              <w:bottom w:type="dxa" w:w="40"/>
              <w:right w:type="dxa" w:w="90"/>
            </w:tcMar>
          </w:tcPr>
          <w:p>
            <w:pPr>
              <w:spacing w:after="0" w:line="240"/>
              <w:jc w:val="left"/>
            </w:pPr>
            <w:r>
              <w:rPr>
                <w:b w:val="false"/>
                <w:bCs w:val="false"/>
                <w:sz w:val="17"/>
                <w:szCs w:val="17"/>
              </w:rPr>
              <w:t xml:space="preserve">0–10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4,95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6,69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200"/>
            <w:tcMar>
              <w:top w:type="dxa" w:w="40"/>
              <w:left w:type="dxa" w:w="90"/>
              <w:bottom w:type="dxa" w:w="40"/>
              <w:right w:type="dxa" w:w="90"/>
            </w:tcMar>
          </w:tcPr>
          <w:p>
            <w:pPr>
              <w:spacing w:after="0" w:line="240"/>
              <w:jc w:val="left"/>
            </w:pPr>
            <w:r>
              <w:rPr>
                <w:b w:val="false"/>
                <w:bCs w:val="false"/>
                <w:sz w:val="17"/>
                <w:szCs w:val="17"/>
              </w:rPr>
              <w:t xml:space="preserve">0–10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4,59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5,12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0,061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físico</w:t>
            </w:r>
          </w:p>
        </w:tc>
        <w:tc>
          <w:tcPr>
            <w:tcW w:type="dxa" w:w="1200"/>
            <w:tcMar>
              <w:top w:type="dxa" w:w="40"/>
              <w:left w:type="dxa" w:w="90"/>
              <w:bottom w:type="dxa" w:w="40"/>
              <w:right w:type="dxa" w:w="90"/>
            </w:tcMar>
          </w:tcPr>
          <w:p>
            <w:pPr>
              <w:spacing w:after="0" w:line="240"/>
              <w:jc w:val="left"/>
            </w:pPr>
            <w:r>
              <w:rPr>
                <w:b w:val="false"/>
                <w:bCs w:val="false"/>
                <w:sz w:val="17"/>
                <w:szCs w:val="17"/>
              </w:rPr>
              <w:t xml:space="preserve">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2,26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1,64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-0,93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mental</w:t>
            </w:r>
          </w:p>
        </w:tc>
        <w:tc>
          <w:tcPr>
            <w:tcW w:type="dxa" w:w="1200"/>
            <w:tcMar>
              <w:top w:type="dxa" w:w="40"/>
              <w:left w:type="dxa" w:w="90"/>
              <w:bottom w:type="dxa" w:w="40"/>
              <w:right w:type="dxa" w:w="90"/>
            </w:tcMar>
          </w:tcPr>
          <w:p>
            <w:pPr>
              <w:spacing w:after="0" w:line="240"/>
              <w:jc w:val="left"/>
            </w:pPr>
            <w:r>
              <w:rPr>
                <w:b w:val="false"/>
                <w:bCs w:val="false"/>
                <w:sz w:val="17"/>
                <w:szCs w:val="17"/>
              </w:rPr>
              <w:t xml:space="preserve">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2,43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2,27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-0,39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0,066</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21. Autorrelatos externos ao BRUMS — resposta aguda pré→pós.</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500"/>
        <w:gridCol w:w="1500"/>
        <w:gridCol w:w="1300"/>
        <w:gridCol w:w="1300"/>
        <w:gridCol w:w="17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Item de Fadiga</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Pré</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Pós</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700"/>
            <w:shd w:fill="EAF1F7" w:color="auto" w:val="clear"/>
            <w:tcMar>
              <w:top w:type="dxa" w:w="40"/>
              <w:left w:type="dxa" w:w="90"/>
              <w:bottom w:type="dxa" w:w="40"/>
              <w:right w:type="dxa" w:w="90"/>
            </w:tcMar>
          </w:tcPr>
          <w:p>
            <w:pPr>
              <w:spacing w:after="0" w:line="240"/>
              <w:jc w:val="left"/>
            </w:pPr>
            <w:r>
              <w:rPr>
                <w:b/>
                <w:bCs/>
                <w:color w:val="16273D"/>
                <w:sz w:val="17"/>
                <w:szCs w:val="17"/>
              </w:rPr>
              <w:t xml:space="preserve">Direção</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Esgotado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0,92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1,68</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+0,74</w:t>
            </w:r>
          </w:p>
        </w:tc>
        <w:tc>
          <w:tcPr>
            <w:tcW w:type="dxa" w:w="1700"/>
            <w:tcMar>
              <w:top w:type="dxa" w:w="40"/>
              <w:left w:type="dxa" w:w="90"/>
              <w:bottom w:type="dxa" w:w="40"/>
              <w:right w:type="dxa" w:w="90"/>
            </w:tcMar>
          </w:tcPr>
          <w:p>
            <w:pPr>
              <w:spacing w:after="0" w:line="240"/>
              <w:jc w:val="left"/>
            </w:pPr>
            <w:r>
              <w:rPr>
                <w:b w:val="false"/>
                <w:bCs w:val="false"/>
                <w:sz w:val="17"/>
                <w:szCs w:val="17"/>
              </w:rPr>
              <w:t xml:space="preserve">sobe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Exausto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1,66</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700"/>
            <w:tcMar>
              <w:top w:type="dxa" w:w="40"/>
              <w:left w:type="dxa" w:w="90"/>
              <w:bottom w:type="dxa" w:w="40"/>
              <w:right w:type="dxa" w:w="90"/>
            </w:tcMar>
          </w:tcPr>
          <w:p>
            <w:pPr>
              <w:spacing w:after="0" w:line="240"/>
              <w:jc w:val="left"/>
            </w:pPr>
            <w:r>
              <w:rPr>
                <w:b w:val="false"/>
                <w:bCs w:val="false"/>
                <w:sz w:val="17"/>
                <w:szCs w:val="17"/>
              </w:rPr>
              <w:t xml:space="preserve">sobe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Sonolento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0,82</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700"/>
            <w:tcMar>
              <w:top w:type="dxa" w:w="40"/>
              <w:left w:type="dxa" w:w="90"/>
              <w:bottom w:type="dxa" w:w="40"/>
              <w:right w:type="dxa" w:w="90"/>
            </w:tcMar>
          </w:tcPr>
          <w:p>
            <w:pPr>
              <w:spacing w:after="0" w:line="240"/>
              <w:jc w:val="left"/>
            </w:pPr>
            <w:r>
              <w:rPr>
                <w:b w:val="false"/>
                <w:bCs w:val="false"/>
                <w:sz w:val="17"/>
                <w:szCs w:val="17"/>
              </w:rPr>
              <w:t xml:space="preserve">cai</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Cansado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1,29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1,87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700"/>
            <w:tcMar>
              <w:top w:type="dxa" w:w="40"/>
              <w:left w:type="dxa" w:w="90"/>
              <w:bottom w:type="dxa" w:w="40"/>
              <w:right w:type="dxa" w:w="90"/>
            </w:tcMar>
          </w:tcPr>
          <w:p>
            <w:pPr>
              <w:spacing w:after="0" w:line="240"/>
              <w:jc w:val="left"/>
            </w:pPr>
            <w:r>
              <w:rPr>
                <w:b w:val="false"/>
                <w:bCs w:val="false"/>
                <w:sz w:val="17"/>
                <w:szCs w:val="17"/>
              </w:rPr>
              <w:t xml:space="preserve">sobe</w:t>
            </w:r>
          </w:p>
        </w:tc>
      </w:tr>
    </w:tbl>
    <w:p>
      <w:pPr>
        <w:spacing w:after="180" w:before="60"/>
      </w:pPr>
      <w:r>
        <w:rPr>
          <w:i/>
          <w:iCs/>
          <w:color w:val="5B6B82"/>
          <w:sz w:val="17"/>
          <w:szCs w:val="17"/>
        </w:rPr>
        <w:t xml:space="preserve">Tabela 22. Itens da subescala Fadiga — o "Sonolento" move-se na contramão dos demais.</w:t>
      </w:r>
    </w:p>
    <w:p>
      <w:pPr>
        <w:spacing w:after="40" w:before="120"/>
        <w:jc w:val="center"/>
      </w:pPr>
      <w:r>
        <w:drawing>
          <wp:inline distT="0" distB="0" distL="0" distR="0">
            <wp:extent cx="58483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4448175"/>
                    </a:xfrm>
                    <a:prstGeom prst="rect">
                      <a:avLst/>
                    </a:prstGeom>
                  </pic:spPr>
                </pic:pic>
              </a:graphicData>
            </a:graphic>
          </wp:inline>
        </w:drawing>
      </w:r>
    </w:p>
    <w:p>
      <w:pPr>
        <w:spacing w:after="180" w:before="60"/>
      </w:pPr>
      <w:r>
        <w:rPr>
          <w:i/>
          <w:iCs/>
          <w:color w:val="5B6B82"/>
          <w:sz w:val="17"/>
          <w:szCs w:val="17"/>
        </w:rPr>
        <w:t xml:space="preserve">Figura 11. Painel de síntese: medidores dos indicadores-chave, radar do perfil pré×pós, monitoramento diário D1→D7 e mapa 4D das variáveis.</w:t>
      </w:r>
    </w:p>
    <w:p>
      <w:r>
        <w:br w:type="page"/>
      </w:r>
    </w:p>
    <w:p>
      <w:pPr>
        <w:pStyle w:val="Heading1"/>
        <w:spacing w:after="120" w:before="280"/>
      </w:pPr>
      <w:r>
        <w:t xml:space="preserve">4. Discussão</w:t>
      </w:r>
    </w:p>
    <w:p>
      <w:pPr>
        <w:spacing w:after="140" w:before="0" w:line="300"/>
        <w:jc w:val="both"/>
      </w:pPr>
      <w:r>
        <w:t xml:space="preserve">Este estudo caracterizou a resposta do humor de atletas de handebol de elite a um microciclo com HIIT e identificou os marcadores mais úteis ao monitoramento, mantendo o atleta como unidade em todas as camadas. Três achados principais emergem e convergem por métodos independentes.</w:t>
      </w:r>
    </w:p>
    <w:p>
      <w:pPr>
        <w:spacing w:after="140" w:before="0" w:line="300"/>
        <w:jc w:val="both"/>
      </w:pPr>
      <w:r>
        <w:rPr>
          <w:b/>
          <w:bCs/>
        </w:rPr>
        <w:t xml:space="preserve">A dose do estímulo e sua leitura fisiológica. </w:t>
      </w:r>
      <w:r>
        <w:t xml:space="preserve">O protocolo — 4 × 4 min a 104% da velocidade de pico com 3 min de intervalo — impôs uma carga interna quase-máxima e progressiva: a FC de pico atingiu 186 bpm, a FC média das séries 179 bpm e a PSE final 9,9. A elevação da FC de recuperação ao longo das séries (deriva cardiovascular, recuperação incompleta) confirma que o estímulo operou próximo ao teto aeróbio, na zona associada a maiores adaptações centrais e periféricas (Buchheit &amp; Laursen, 2013). É justamente esse regime de teto que explica o desacoplamento observado: quando todos treinam perto do máximo, a variância da carga interna se comprime e deixa de explicar a variância — bem maior — da resposta de humor.</w:t>
      </w:r>
    </w:p>
    <w:p>
      <w:pPr>
        <w:spacing w:after="140" w:before="0" w:line="300"/>
        <w:jc w:val="both"/>
      </w:pPr>
      <w:r>
        <w:rPr>
          <w:b/>
          <w:bCs/>
        </w:rPr>
        <w:t xml:space="preserve">Descritivas, normalidade e escolha de métodos. </w:t>
      </w:r>
      <w:r>
        <w:t xml:space="preserve">As distribuições (histogramas, box plots e Q–Q) mostraram forte efeito piso nas subescalas negativas e não-normalidade generalizada (Shapiro–Wilk), o que poderia comprometer testes paramétricos. A concordância entre t e Wilcoxon, a confirmação por permutação restrita e a estimação bayesiana blindam as conclusões contra essa ameaça. O contraste direto entre dias de HIIT e dias sem HIIT não sobreviveu à correção — coerente com a leitura de que a assinatura do HIIT está no acúmulo diário ao longo do microciclo, e não num contraste agudo isolado, dominado pela variabilidade individual.</w:t>
      </w:r>
    </w:p>
    <w:p>
      <w:pPr>
        <w:spacing w:after="140" w:before="0" w:line="300"/>
        <w:jc w:val="both"/>
      </w:pPr>
      <w:r>
        <w:rPr>
          <w:b/>
          <w:bCs/>
        </w:rPr>
        <w:t xml:space="preserve">A resposta mora no eixo energia–fadiga e é de estado. </w:t>
      </w:r>
      <w:r>
        <w:t xml:space="preserve">A mudança pré→pós é um deslocamento sobre o eixo energia–fadiga (vigor achata, fadiga sobe), com as dimensões negativas quase paradas — erosão do perfil iceberg. A hierarquia de invariância confirma que se trata de mudança de estado, não do significado do instrumento (métrica sustentada; escalar aproximada; estrita no limite, com quebra localizada no item "Sonolento"). O padrão é coerente com a literatura de resposta afetiva a exercício intervalado, em que tensão e depressão tendem a recuar e a resposta é modulada pela intensidade e pelo desenho da sessão (Marques et al., 2020; Patten et al., 2022), e com a validação do BRUMS, que reporta invariância de medida e maior fadiga em atletas (Terry et al., 2022; Zhang et al., 2014).</w:t>
      </w:r>
    </w:p>
    <w:p>
      <w:pPr>
        <w:spacing w:after="140" w:before="0" w:line="300"/>
        <w:jc w:val="both"/>
      </w:pPr>
      <w:r>
        <w:rPr>
          <w:b/>
          <w:bCs/>
        </w:rPr>
        <w:t xml:space="preserve">A resposta é fortemente individual. </w:t>
      </w:r>
      <w:r>
        <w:t xml:space="preserve">A maior parte da variância é traço (ICC 0,42–0,71) e o acúmulo do PTH é idiossincrático, ao passo que a fadiga física acumula de forma homogênea. A predição fora da amostra confirma que o sinal vem do baseline do próprio atleta, não do contexto da sessão — o que desloca a inferência da média do grupo para a tendência individual.</w:t>
      </w:r>
    </w:p>
    <w:p>
      <w:pPr>
        <w:spacing w:after="140" w:before="0" w:line="300"/>
        <w:jc w:val="both"/>
      </w:pPr>
      <w:r>
        <w:rPr>
          <w:b/>
          <w:bCs/>
        </w:rPr>
        <w:t xml:space="preserve">Carga alta não é humor pior. </w:t>
      </w:r>
      <w:r>
        <w:t xml:space="preserve">O custo cardiovascular quase-máximo não prediz a perturbação aguda do humor (desacoplamento robusto à FDR; TRIMP×ΔPTH r = -0,32). Num regime de teto, a variação relevante do humor depende de tolerância e recuperação individuais, não da carga objetiva — o que fundamenta a superioridade das medidas subjetivas no monitoramento da resposta ao treino (Saw, Main &amp; Gastin, 2016) e a validade da PSE como marcador de estímulo, não de resposta (Haddad et al., 2017).</w:t>
      </w:r>
    </w:p>
    <w:p>
      <w:pPr>
        <w:spacing w:after="140" w:before="0" w:line="300"/>
        <w:jc w:val="both"/>
      </w:pPr>
      <w:r>
        <w:rPr>
          <w:b/>
          <w:bCs/>
        </w:rPr>
        <w:t xml:space="preserve">Convergência multimétodo. </w:t>
      </w:r>
      <w:r>
        <w:t xml:space="preserve">O efeito agudo é confirmado no plano multivariado (MANOVA p = 0,016; PERMANOVA restrita p = 0,001, R² = 0,174), por permutação restrita item a item e por estimação bayesiana (P(Δ&gt;0) ≈ 1 para a fadiga física e o PTH), além de concordar entre testes paramétricos e não-paramétricos. Essa triangulação — métodos com pressupostos distintos apontando para o mesmo lugar — é a principal salvaguarda contra achados espúrios por comparações múltiplas ou por violação de pressupostos.</w:t>
      </w:r>
    </w:p>
    <w:p>
      <w:pPr>
        <w:spacing w:after="140" w:before="0" w:line="300"/>
        <w:jc w:val="both"/>
      </w:pPr>
      <w:r>
        <w:rPr>
          <w:b/>
          <w:bCs/>
        </w:rPr>
        <w:t xml:space="preserve">A dinâmica temporal e o valor do nível sobre a derivada. </w:t>
      </w:r>
      <w:r>
        <w:t xml:space="preserve">A formalização em cálculo mostra que a fadiga física acumula de forma saturante (f″ &lt; 0), tendendo a um limite estacionário ao fim da semana, com velocidade de acúmulo maior em torno dos dias de HIIT. Um achado com consequência prática direta: a ROC das derivadas não supera a ROC dos níveis — a taxa de variação diagnostica menos que o estado atual, porque a derivada amplifica o ruído de medida. Monitorar "quão cansado o atleta está" é, portanto, mais informativo do que "quão rápido ele está ficando cansado".</w:t>
      </w:r>
    </w:p>
    <w:p>
      <w:pPr>
        <w:spacing w:after="140" w:before="0" w:line="300"/>
        <w:jc w:val="both"/>
      </w:pPr>
      <w:r>
        <w:rPr>
          <w:b/>
          <w:bCs/>
        </w:rPr>
        <w:t xml:space="preserve">Marcadores para o monitoramento. </w:t>
      </w:r>
      <w:r>
        <w:t xml:space="preserve">A fadiga física é o marcador mais sensível de estado de fadiga (AUC 0,90); sua baixa estabilidade é a assinatura desejável de um sinal de estado. A fadiga mental e a depressão combinam sensibilidade e confiabilidade, servindo ao acompanhamento dia a dia; a tensão, embora estável, é diagnosticamente cega. A validade convergente intra-sujeito entre o BRUMS e os autorrelatos externos reforça a interpretação. No contexto do handebol — modalidade de alta demanda intermitente e calendário denso —, isso sustenta um protocolo de monitoramento parcimonioso e de baixo custo, aplicável no dia a dia do clube.</w:t>
      </w:r>
    </w:p>
    <w:p>
      <w:pPr>
        <w:spacing w:after="140" w:before="0" w:line="300"/>
        <w:jc w:val="both"/>
      </w:pPr>
      <w:r>
        <w:rPr>
          <w:b/>
          <w:bCs/>
        </w:rPr>
        <w:t xml:space="preserve">Pontos fortes e validade. </w:t>
      </w:r>
      <w:r>
        <w:t xml:space="preserve">A disciplina de atleta-como-unidade, a triangulação por métodos independentes (frequentista, bayesiano, multivariado, classificação e cálculo), a caracterização psicométrica completa (confiabilidade, AFC, AFE, TRI, invariância configural→estrita/parcial) e a reprodutibilidade ponta-a-ponta por código conferem robustez incomum. A validade convergente aparece na correlação intra-sujeito entre BRUMS e autorrelatos externos; a de construto, na invariância; a diagnóstica, nas AUC.</w:t>
      </w:r>
    </w:p>
    <w:p>
      <w:pPr>
        <w:spacing w:after="140" w:before="0" w:line="300"/>
        <w:jc w:val="both"/>
      </w:pPr>
      <w:r>
        <w:rPr>
          <w:b/>
          <w:bCs/>
        </w:rPr>
        <w:t xml:space="preserve">Limitações. </w:t>
      </w:r>
      <w:r>
        <w:t xml:space="preserve">Delineamento observacional (associação, não causalidade); amostra de um único clube de elite (27 atletas), o que limita poder para efeitos individuais e generalização; ausência de duração de sessão (TRIMP relativo por %HRR); efeito de teto na carga; itens com efeito piso (tensão, confusão); sonolência medida por um único item.</w:t>
      </w:r>
    </w:p>
    <w:p>
      <w:pPr>
        <w:spacing w:after="140" w:before="0" w:line="300"/>
        <w:jc w:val="both"/>
      </w:pPr>
      <w:r>
        <w:rPr>
          <w:b/>
          <w:bCs/>
        </w:rPr>
        <w:t xml:space="preserve">Direções futuras. </w:t>
      </w:r>
      <w:r>
        <w:t xml:space="preserve">Desenhos com manipulação da carga (dias pareados de alta vs. baixa intensidade) para testar causalidade; séries temporais mais densas por atleta para modelos dinâmicos individuais e mapeamento de não-respondedores; escala de sono/alerta dedicada; integração de marcadores objetivos de recuperação (VFC, sono); e validação prospectiva do protocolo parcimonioso contra desfechos de desempenho e lesão.</w:t>
      </w:r>
    </w:p>
    <w:p>
      <w:pPr>
        <w:pStyle w:val="Heading1"/>
        <w:spacing w:after="120" w:before="280"/>
      </w:pPr>
      <w:r>
        <w:t xml:space="preserve">5. Conclusão</w:t>
      </w:r>
    </w:p>
    <w:p>
      <w:pPr>
        <w:spacing w:after="140" w:before="0" w:line="300"/>
        <w:jc w:val="both"/>
      </w:pPr>
      <w:r>
        <w:t xml:space="preserve">Em atletas de handebol de elite submetidos a um microciclo com HIIT, a evidência convergente de todas as camadas analíticas sustenta cinco conclusões:</w:t>
      </w:r>
    </w:p>
    <w:p>
      <w:pPr>
        <w:spacing w:after="140" w:before="0" w:line="300"/>
        <w:jc w:val="both"/>
      </w:pPr>
      <w:r>
        <w:rPr>
          <w:b/>
          <w:bCs/>
        </w:rPr>
        <w:t xml:space="preserve">(1) </w:t>
      </w:r>
      <w:r>
        <w:t xml:space="preserve">A resposta de humor é real e mora no eixo energia–fadiga: o vigor recua e a fadiga (sobretudo física) se eleva, com as dimensões negativas quase inertes por efeito piso — que é limitação de medida, não ausência de fenômeno.</w:t>
      </w:r>
    </w:p>
    <w:p>
      <w:pPr>
        <w:spacing w:after="140" w:before="0" w:line="300"/>
        <w:jc w:val="both"/>
      </w:pPr>
      <w:r>
        <w:rPr>
          <w:b/>
          <w:bCs/>
        </w:rPr>
        <w:t xml:space="preserve">(2) </w:t>
      </w:r>
      <w:r>
        <w:t xml:space="preserve">A mudança é de estado, não de medida: a escala é confiável e invariante pré→pós (métrica sustentada; escalar aproximada; estrita no limite, com quebra local no item "Sonolento").</w:t>
      </w:r>
    </w:p>
    <w:p>
      <w:pPr>
        <w:spacing w:after="140" w:before="0" w:line="300"/>
        <w:jc w:val="both"/>
      </w:pPr>
      <w:r>
        <w:rPr>
          <w:b/>
          <w:bCs/>
        </w:rPr>
        <w:t xml:space="preserve">(3) </w:t>
      </w:r>
      <w:r>
        <w:t xml:space="preserve">A resposta é fortemente individual (variância majoritariamente de traço; segmentação em resilientes, perturbados e um extremo), exigindo monitoramento por tendência individual e não pela média do grupo.</w:t>
      </w:r>
    </w:p>
    <w:p>
      <w:pPr>
        <w:spacing w:after="140" w:before="0" w:line="300"/>
        <w:jc w:val="both"/>
      </w:pPr>
      <w:r>
        <w:rPr>
          <w:b/>
          <w:bCs/>
        </w:rPr>
        <w:t xml:space="preserve">(4) </w:t>
      </w:r>
      <w:r>
        <w:t xml:space="preserve">A carga interna não determina a resposta de humor (desacoplamento robusto): FC/TRIMP não substituem o autorrelato.</w:t>
      </w:r>
    </w:p>
    <w:p>
      <w:pPr>
        <w:spacing w:after="140" w:before="0" w:line="300"/>
        <w:jc w:val="both"/>
      </w:pPr>
      <w:r>
        <w:rPr>
          <w:b/>
          <w:bCs/>
        </w:rPr>
        <w:t xml:space="preserve">(5) </w:t>
      </w:r>
      <w:r>
        <w:t xml:space="preserve">O monitoramento eficiente combina a fadiga física (sensibilidade) e a fadiga mental/depressão (confiabilidade), num protocolo parcimonioso e reprodutível. A convergência de métodos independentes para a mesma conclusão é a melhor evidência de que ela descreve o fenômeno, e não o método.</w:t>
      </w:r>
    </w:p>
    <w:p>
      <w:r>
        <w:br w:type="page"/>
      </w:r>
    </w:p>
    <w:p>
      <w:pPr>
        <w:pStyle w:val="Heading1"/>
        <w:spacing w:after="120" w:before="280"/>
      </w:pPr>
      <w:r>
        <w:t xml:space="preserve">Referências</w:t>
      </w:r>
    </w:p>
    <w:p>
      <w:pPr>
        <w:spacing w:after="100" w:line="260"/>
        <w:jc w:val="both"/>
      </w:pPr>
      <w:r>
        <w:rPr>
          <w:sz w:val="19"/>
          <w:szCs w:val="19"/>
        </w:rPr>
        <w:t xml:space="preserve">ALMEIDA, F. R. et al. Psychometric properties of the Brazilian version of the BRUMS scale for basketball referees. [S. l.: s. n.], 2018.</w:t>
      </w:r>
    </w:p>
    <w:p>
      <w:pPr>
        <w:spacing w:after="100" w:line="260"/>
        <w:jc w:val="both"/>
      </w:pPr>
      <w:r>
        <w:rPr>
          <w:sz w:val="19"/>
          <w:szCs w:val="19"/>
        </w:rPr>
        <w:t xml:space="preserve">ANDERSON, M. J. A new method for non-parametric multivariate analysis of variance. Austral Ecology, v. 26, n. 1, p. 32-46, 2001.</w:t>
      </w:r>
    </w:p>
    <w:p>
      <w:pPr>
        <w:spacing w:after="100" w:line="260"/>
        <w:jc w:val="both"/>
      </w:pPr>
      <w:r>
        <w:rPr>
          <w:sz w:val="19"/>
          <w:szCs w:val="19"/>
        </w:rPr>
        <w:t xml:space="preserve">ANDERSON, M. J.; WALSH, D. C. I. PERMANOVA, ANOSIM, and the Mantel test in the face of heterogeneous dispersions: What null hypothesis are you testing? Ecological Monographs, v. 83, n. 4, p. 557-574, 2013. DOI: https://doi.org/10.1890/12-2010.1.</w:t>
      </w:r>
    </w:p>
    <w:p>
      <w:pPr>
        <w:spacing w:after="100" w:line="260"/>
        <w:jc w:val="both"/>
      </w:pPr>
      <w:r>
        <w:rPr>
          <w:sz w:val="19"/>
          <w:szCs w:val="19"/>
        </w:rPr>
        <w:t xml:space="preserve">BAKDASH, J. Z.; MARUSICH, L. R. Repeated measures correlation. Frontiers in Psychology, v. 8, p. 456, 2017.</w:t>
      </w:r>
    </w:p>
    <w:p>
      <w:pPr>
        <w:spacing w:after="100" w:line="260"/>
        <w:jc w:val="both"/>
      </w:pPr>
      <w:r>
        <w:rPr>
          <w:sz w:val="19"/>
          <w:szCs w:val="19"/>
        </w:rPr>
        <w:t xml:space="preserve">BAKER, F. B. The basics of item response theory. 2. ed. [S. l.]: ERIC Clearinghouse on Assessment and Evaluation, 2001.</w:t>
      </w:r>
    </w:p>
    <w:p>
      <w:pPr>
        <w:spacing w:after="100" w:line="260"/>
        <w:jc w:val="both"/>
      </w:pPr>
      <w:r>
        <w:rPr>
          <w:sz w:val="19"/>
          <w:szCs w:val="19"/>
        </w:rPr>
        <w:t xml:space="preserve">BANISTER, E. W. Modeling elite athletic performance. In: MACDOUGALL, J. D.; WENGER, H. A.; GREEN, H. J. (ed.). Physiological testing of the high-performance athlete. 2. ed. [S. l.]: Human Kinetics, 1991. p. 403-424.</w:t>
      </w:r>
    </w:p>
    <w:p>
      <w:pPr>
        <w:spacing w:after="100" w:line="260"/>
        <w:jc w:val="both"/>
      </w:pPr>
      <w:r>
        <w:rPr>
          <w:sz w:val="19"/>
          <w:szCs w:val="19"/>
        </w:rPr>
        <w:t xml:space="preserve">BATES, D.; MÄCHLER, M.; BOLKER, B.; WALKER, S. Fitting linear mixed-effects models using lme4. Journal of Statistical Software, v. 67, n. 1, p. 1-48, 2015.</w:t>
      </w:r>
    </w:p>
    <w:p>
      <w:pPr>
        <w:spacing w:after="100" w:line="260"/>
        <w:jc w:val="both"/>
      </w:pPr>
      <w:r>
        <w:rPr>
          <w:sz w:val="19"/>
          <w:szCs w:val="19"/>
        </w:rPr>
        <w:t xml:space="preserve">BEEDIE, C. J.; TERRY, P. C.; LANE, A. M. The profile of mood states and athletic performance: two meta-analyses. Journal of Applied Sport Psychology, v. 12, n. 1, p. 49-68, 2000. DOI: https://doi.org/10.1080/10413200008404213.</w:t>
      </w:r>
    </w:p>
    <w:p>
      <w:pPr>
        <w:spacing w:after="100" w:line="260"/>
        <w:jc w:val="both"/>
      </w:pPr>
      <w:r>
        <w:rPr>
          <w:sz w:val="19"/>
          <w:szCs w:val="19"/>
        </w:rPr>
        <w:t xml:space="preserve">BENJAMINI, Y.; HOCHBERG, Y. Controlling the false discovery rate. Journal of the Royal Statistical Society B, v. 57, n. 1, p. 289-300, 1995.</w:t>
      </w:r>
    </w:p>
    <w:p>
      <w:pPr>
        <w:spacing w:after="100" w:line="260"/>
        <w:jc w:val="both"/>
      </w:pPr>
      <w:r>
        <w:rPr>
          <w:sz w:val="19"/>
          <w:szCs w:val="19"/>
        </w:rPr>
        <w:t xml:space="preserve">BORRESEN, J.; LAMBERT, M. I. The quantification of training load, the training response and the effect on performance. Sports Medicine, v. 39, n. 9, p. 779-795, 2009. DOI: https://doi.org/10.2165/11317780-000000000-00000.</w:t>
      </w:r>
    </w:p>
    <w:p>
      <w:pPr>
        <w:spacing w:after="100" w:line="260"/>
        <w:jc w:val="both"/>
      </w:pPr>
      <w:r>
        <w:rPr>
          <w:sz w:val="19"/>
          <w:szCs w:val="19"/>
        </w:rPr>
        <w:t xml:space="preserve">BOURDON, P. C. et al. Monitoring athlete training loads: consensus statement. International Journal of Sports Physiology and Performance, v. 12, n. s2, p. S2-161-S2-170, 2017. DOI: https://doi.org/10.1123/ijspp.2017-0208.</w:t>
      </w:r>
    </w:p>
    <w:p>
      <w:pPr>
        <w:spacing w:after="100" w:line="260"/>
        <w:jc w:val="both"/>
      </w:pPr>
      <w:r>
        <w:rPr>
          <w:sz w:val="19"/>
          <w:szCs w:val="19"/>
        </w:rPr>
        <w:t xml:space="preserve">BUCHHEIT, M.; LAURSEN, P. B. High-intensity interval training, solutions to the programming puzzle: Part I: cardiopulmonary emphasis. Sports Medicine, v. 43, n. 5, p. 313-338, 2013. DOI: https://doi.org/10.1007/s40279-013-0029-x.</w:t>
      </w:r>
    </w:p>
    <w:p>
      <w:pPr>
        <w:spacing w:after="100" w:line="260"/>
        <w:jc w:val="both"/>
      </w:pPr>
      <w:r>
        <w:rPr>
          <w:sz w:val="19"/>
          <w:szCs w:val="19"/>
        </w:rPr>
        <w:t xml:space="preserve">CASALS, M.; FERNÁNDEZ, D.; ZUMETA-OLASKOAGA, L.; SÁNCHEZ, A.; ZUCCOLOTTO, P. Reporting of generalized linear mixed models (GLMM) in sports sciences: A scoping review. Journal of Sports Analytics, v. 11, 2025. DOI: https://doi.org/10.1177/22150218251384557.</w:t>
      </w:r>
    </w:p>
    <w:p>
      <w:pPr>
        <w:spacing w:after="100" w:line="260"/>
        <w:jc w:val="both"/>
      </w:pPr>
      <w:r>
        <w:rPr>
          <w:sz w:val="19"/>
          <w:szCs w:val="19"/>
        </w:rPr>
        <w:t xml:space="preserve">CHALMERS, R. P. On misconceptions and the limited usefulness of ordinal alpha. Educational and Psychological Measurement, v. 78, n. 6, p. 1056-1071, 2018. DOI: https://doi.org/10.1177/0013164417727036.</w:t>
      </w:r>
    </w:p>
    <w:p>
      <w:pPr>
        <w:spacing w:after="100" w:line="260"/>
        <w:jc w:val="both"/>
      </w:pPr>
      <w:r>
        <w:rPr>
          <w:sz w:val="19"/>
          <w:szCs w:val="19"/>
        </w:rPr>
        <w:t xml:space="preserve">CHEN, F. F. Sensitivity of goodness of fit indexes to lack of measurement invariance. Structural Equation Modeling, v. 14, n. 3, p. 464-504, 2007.</w:t>
      </w:r>
    </w:p>
    <w:p>
      <w:pPr>
        <w:spacing w:after="100" w:line="260"/>
        <w:jc w:val="both"/>
      </w:pPr>
      <w:r>
        <w:rPr>
          <w:sz w:val="19"/>
          <w:szCs w:val="19"/>
        </w:rPr>
        <w:t xml:space="preserve">COHEN, J. Statistical power analysis for the behavioral sciences. 2. ed. [S. l.]: Erlbaum, 1988.</w:t>
      </w:r>
    </w:p>
    <w:p>
      <w:pPr>
        <w:spacing w:after="100" w:line="260"/>
        <w:jc w:val="both"/>
      </w:pPr>
      <w:r>
        <w:rPr>
          <w:sz w:val="19"/>
          <w:szCs w:val="19"/>
        </w:rPr>
        <w:t xml:space="preserve">COSTELLO, S. E. et al. Detrimental effects on executive function and mood following consecutive days of repeated high-intensity sprint interval exercise in trained male sports players. Journal of Sports Sciences, 2021.</w:t>
      </w:r>
    </w:p>
    <w:p>
      <w:pPr>
        <w:spacing w:after="100" w:line="260"/>
        <w:jc w:val="both"/>
      </w:pPr>
      <w:r>
        <w:rPr>
          <w:sz w:val="19"/>
          <w:szCs w:val="19"/>
        </w:rPr>
        <w:t xml:space="preserve">DE VET, H. C. W.; TERWEE, C. B.; OSTELO, R. W. J. G.; BECKERMAN, H.; KNOL, D. L.; BOUTER, L. M. Minimal changes in health status questionnaires: Distinction between minimally detectable change and minimally important change. Health and Quality of Life Outcomes, v. 4, p. 54, 2006.</w:t>
      </w:r>
    </w:p>
    <w:p>
      <w:pPr>
        <w:spacing w:after="100" w:line="260"/>
        <w:jc w:val="both"/>
      </w:pPr>
      <w:r>
        <w:rPr>
          <w:sz w:val="19"/>
          <w:szCs w:val="19"/>
        </w:rPr>
        <w:t xml:space="preserve">DUIGNAN, C. et al. Single-item self-report measures of team-sport athlete wellbeing and their relationship with training load: a systematic review. Journal of Athletic Training, v. 55, n. 9, p. 944-953, 2020. DOI: https://doi.org/10.4085/1062-6050-0528.19.</w:t>
      </w:r>
    </w:p>
    <w:p>
      <w:pPr>
        <w:spacing w:after="100" w:line="260"/>
        <w:jc w:val="both"/>
      </w:pPr>
      <w:r>
        <w:rPr>
          <w:sz w:val="19"/>
          <w:szCs w:val="19"/>
        </w:rPr>
        <w:t xml:space="preserve">EMBRETSON, S. E.; REISE, S. P. Item response theory for psychologists. [S. l.]: Lawrence Erlbaum Associates, 2000.</w:t>
      </w:r>
    </w:p>
    <w:p>
      <w:pPr>
        <w:spacing w:after="100" w:line="260"/>
        <w:jc w:val="both"/>
      </w:pPr>
      <w:r>
        <w:rPr>
          <w:sz w:val="19"/>
          <w:szCs w:val="19"/>
        </w:rPr>
        <w:t xml:space="preserve">FILAIRE, E. et al. Preliminary results on mood state, salivary testosterone:cortisol ratio and team performance in a professional soccer team. European Journal of Applied Physiology, v. 86, n. 2, p. 179-184, 2001. DOI: https://doi.org/10.1007/s004210100512.</w:t>
      </w:r>
    </w:p>
    <w:p>
      <w:pPr>
        <w:spacing w:after="100" w:line="260"/>
        <w:jc w:val="both"/>
      </w:pPr>
      <w:r>
        <w:rPr>
          <w:sz w:val="19"/>
          <w:szCs w:val="19"/>
        </w:rPr>
        <w:t xml:space="preserve">FLORA, D. B. Your coefficient alpha is probably wrong, but which coefficient omega is right? A tutorial on using R to obtain better reliability estimates. Advances in Methods and Practices in Psychological Science, v. 3, n. 4, p. 484-501, 2020. DOI: https://doi.org/10.1177/2515245920951747.</w:t>
      </w:r>
    </w:p>
    <w:p>
      <w:pPr>
        <w:spacing w:after="100" w:line="260"/>
        <w:jc w:val="both"/>
      </w:pPr>
      <w:r>
        <w:rPr>
          <w:sz w:val="19"/>
          <w:szCs w:val="19"/>
        </w:rPr>
        <w:t xml:space="preserve">HADDAD, M. et al. Session-RPE method for training load monitoring: validity, ecological usefulness, and influencing factors. Frontiers in Neuroscience, v. 11, p. 612, 2017. DOI: https://doi.org/10.3389/fnins.2017.00612.</w:t>
      </w:r>
    </w:p>
    <w:p>
      <w:pPr>
        <w:spacing w:after="100" w:line="260"/>
        <w:jc w:val="both"/>
      </w:pPr>
      <w:r>
        <w:rPr>
          <w:sz w:val="19"/>
          <w:szCs w:val="19"/>
        </w:rPr>
        <w:t xml:space="preserve">HALSON, S. L.; JEUKENDRUP, A. E. Does overtraining exist? Sports Medicine, v. 34, n. 14, p. 967-981, 2004.</w:t>
      </w:r>
    </w:p>
    <w:p>
      <w:pPr>
        <w:spacing w:after="100" w:line="260"/>
        <w:jc w:val="both"/>
      </w:pPr>
      <w:r>
        <w:rPr>
          <w:sz w:val="19"/>
          <w:szCs w:val="19"/>
        </w:rPr>
        <w:t xml:space="preserve">HAN, C. S. Y. et al. Psychometric properties of the Brunel Mood Scale among athletes and non-athletes in Singapore. International Journal of Sport and Exercise Psychology, 2021.</w:t>
      </w:r>
    </w:p>
    <w:p>
      <w:pPr>
        <w:spacing w:after="100" w:line="260"/>
        <w:jc w:val="both"/>
      </w:pPr>
      <w:r>
        <w:rPr>
          <w:sz w:val="19"/>
          <w:szCs w:val="19"/>
        </w:rPr>
        <w:t xml:space="preserve">HASAN, M. et al. Bangla version of the Brunel Mood Scale (BRUMS): validity, measurement invariance and normative data in a non-clinical sample. Heliyon, v. 8, 2022.</w:t>
      </w:r>
    </w:p>
    <w:p>
      <w:pPr>
        <w:spacing w:after="100" w:line="260"/>
        <w:jc w:val="both"/>
      </w:pPr>
      <w:r>
        <w:rPr>
          <w:sz w:val="19"/>
          <w:szCs w:val="19"/>
        </w:rPr>
        <w:t xml:space="preserve">HENSELER, J.; RINGLE, C. M.; SARSTEDT, M. A new criterion for assessing discriminant validity in variance-based structural equation modeling. Journal of the Academy of Marketing Science, v. 43, n. 1, p. 115-135, 2015. DOI: https://doi.org/10.1007/s11747-014-0403-8.</w:t>
      </w:r>
    </w:p>
    <w:p>
      <w:pPr>
        <w:spacing w:after="100" w:line="260"/>
        <w:jc w:val="both"/>
      </w:pPr>
      <w:r>
        <w:rPr>
          <w:sz w:val="19"/>
          <w:szCs w:val="19"/>
        </w:rPr>
        <w:t xml:space="preserve">HOPKINS, W. G. Measures of reliability in sports medicine and science. Sports Medicine, v. 30, n. 1, p. 1-15, 2000.</w:t>
      </w:r>
    </w:p>
    <w:p>
      <w:pPr>
        <w:spacing w:after="100" w:line="260"/>
        <w:jc w:val="both"/>
      </w:pPr>
      <w:r>
        <w:rPr>
          <w:sz w:val="19"/>
          <w:szCs w:val="19"/>
        </w:rPr>
        <w:t xml:space="preserve">HU, L.; BENTLER, P. M. Cutoff criteria for fit indexes in covariance structure analysis: Conventional criteria versus new alternatives. Structural Equation Modeling, v. 6, n. 1, p. 1-55, 1999. DOI: https://doi.org/10.1080/10705519909540118.</w:t>
      </w:r>
    </w:p>
    <w:p>
      <w:pPr>
        <w:spacing w:after="100" w:line="260"/>
        <w:jc w:val="both"/>
      </w:pPr>
      <w:r>
        <w:rPr>
          <w:sz w:val="19"/>
          <w:szCs w:val="19"/>
        </w:rPr>
        <w:t xml:space="preserve">IANNACCONE, A.; CONTE, D.; CORTIS, C.; FUSCO, A. Usefulness of linear mixed-effects models to assess the relationship between objective and subjective internal load in team sports. International Journal of Environmental Research and Public Health, v. 18, n. 2, p. 392, 2021. DOI: https://doi.org/10.3390/ijerph18020392.</w:t>
      </w:r>
    </w:p>
    <w:p>
      <w:pPr>
        <w:spacing w:after="100" w:line="260"/>
        <w:jc w:val="both"/>
      </w:pPr>
      <w:r>
        <w:rPr>
          <w:sz w:val="19"/>
          <w:szCs w:val="19"/>
        </w:rPr>
        <w:t xml:space="preserve">ISSURIN, V. B. New horizons for the methodology and physiology of training periodization. Sports Medicine, v. 40, n. 3, p. 189-206, 2010. DOI: https://doi.org/10.2165/11319770-000000000-00000.</w:t>
      </w:r>
    </w:p>
    <w:p>
      <w:pPr>
        <w:spacing w:after="100" w:line="260"/>
        <w:jc w:val="both"/>
      </w:pPr>
      <w:r>
        <w:rPr>
          <w:sz w:val="19"/>
          <w:szCs w:val="19"/>
        </w:rPr>
        <w:t xml:space="preserve">JACOBSON, N. S.; TRUAX, P. Clinical significance: A statistical approach to defining meaningful change in psychotherapy research. Journal of Consulting and Clinical Psychology, v. 59, n. 1, p. 12-19, 1991.</w:t>
      </w:r>
    </w:p>
    <w:p>
      <w:pPr>
        <w:spacing w:after="100" w:line="260"/>
        <w:jc w:val="both"/>
      </w:pPr>
      <w:r>
        <w:rPr>
          <w:sz w:val="19"/>
          <w:szCs w:val="19"/>
        </w:rPr>
        <w:t xml:space="preserve">KARCHER, C.; BUCHHEIT, M. On-court demands of elite handball, with special reference to playing positions. Sports Medicine, v. 44, n. 6, p. 797-814, 2014. DOI: https://doi.org/10.1007/s40279-014-0164-z.</w:t>
      </w:r>
    </w:p>
    <w:p>
      <w:pPr>
        <w:spacing w:after="100" w:line="260"/>
        <w:jc w:val="both"/>
      </w:pPr>
      <w:r>
        <w:rPr>
          <w:sz w:val="19"/>
          <w:szCs w:val="19"/>
        </w:rPr>
        <w:t xml:space="preserve">KOO, T. K.; LI, M. Y. A guideline of selecting and reporting intraclass correlation coefficients for reliability research. Journal of Chiropractic Medicine, v. 15, n. 2, p. 155-163, 2016.</w:t>
      </w:r>
    </w:p>
    <w:p>
      <w:pPr>
        <w:spacing w:after="100" w:line="260"/>
        <w:jc w:val="both"/>
      </w:pPr>
      <w:r>
        <w:rPr>
          <w:sz w:val="19"/>
          <w:szCs w:val="19"/>
        </w:rPr>
        <w:t xml:space="preserve">KRUSCHKE, J. K. Rejecting or accepting parameter values in Bayesian estimation. Advances in Methods and Practices in Psychological Science, v. 1, n. 2, p. 270-280, 2018.</w:t>
      </w:r>
    </w:p>
    <w:p>
      <w:pPr>
        <w:spacing w:after="100" w:line="260"/>
        <w:jc w:val="both"/>
      </w:pPr>
      <w:r>
        <w:rPr>
          <w:sz w:val="19"/>
          <w:szCs w:val="19"/>
        </w:rPr>
        <w:t xml:space="preserve">KVĚTON, P. et al. Czech adaptation of the Brunel Mood States for adolescent athletes. [S. l.: s. n.], 2020.</w:t>
      </w:r>
    </w:p>
    <w:p>
      <w:pPr>
        <w:spacing w:after="100" w:line="260"/>
        <w:jc w:val="both"/>
      </w:pPr>
      <w:r>
        <w:rPr>
          <w:sz w:val="19"/>
          <w:szCs w:val="19"/>
        </w:rPr>
        <w:t xml:space="preserve">LAN, M. F. et al. Validity of the Brunel Mood Scale for use with Malaysian athletes. Journal of Sports Science &amp; Medicine, v. 11, n. 1, p. 131-135, 2012.</w:t>
      </w:r>
    </w:p>
    <w:p>
      <w:pPr>
        <w:spacing w:after="100" w:line="260"/>
        <w:jc w:val="both"/>
      </w:pPr>
      <w:r>
        <w:rPr>
          <w:sz w:val="19"/>
          <w:szCs w:val="19"/>
        </w:rPr>
        <w:t xml:space="preserve">LEW, P. C. F. et al. Cross-cultural validation of the Malaysian Mood Scale and tests of between-group mood differences. International Journal of Environmental Research and Public Health, v. 20, 2023.</w:t>
      </w:r>
    </w:p>
    <w:p>
      <w:pPr>
        <w:spacing w:after="100" w:line="260"/>
        <w:jc w:val="both"/>
      </w:pPr>
      <w:r>
        <w:rPr>
          <w:sz w:val="19"/>
          <w:szCs w:val="19"/>
        </w:rPr>
        <w:t xml:space="preserve">LI, C.-H. Confirmatory factor analysis with ordinal data: Comparing robust maximum likelihood and diagonally weighted least squares. Behavior Research Methods, v. 48, n. 3, p. 936-949, 2016. DOI: https://doi.org/10.3758/s13428-015-0619-7.</w:t>
      </w:r>
    </w:p>
    <w:p>
      <w:pPr>
        <w:spacing w:after="100" w:line="260"/>
        <w:jc w:val="both"/>
      </w:pPr>
      <w:r>
        <w:rPr>
          <w:sz w:val="19"/>
          <w:szCs w:val="19"/>
        </w:rPr>
        <w:t xml:space="preserve">LITTLE, R. J. A.; RUBIN, D. B. Statistical analysis with missing data. 3. ed. [S. l.]: Wiley, 2019.</w:t>
      </w:r>
    </w:p>
    <w:p>
      <w:pPr>
        <w:spacing w:after="100" w:line="260"/>
        <w:jc w:val="both"/>
      </w:pPr>
      <w:r>
        <w:rPr>
          <w:sz w:val="19"/>
          <w:szCs w:val="19"/>
        </w:rPr>
        <w:t xml:space="preserve">MARQUES, M. et al. Positive affective and enjoyment responses to four high-intensity interval exercise protocols. Perceptual and Motor Skills, v. 127, n. 4, p. 742-765, 2020. DOI: https://doi.org/10.1177/0031512520918748.</w:t>
      </w:r>
    </w:p>
    <w:p>
      <w:pPr>
        <w:spacing w:after="100" w:line="260"/>
        <w:jc w:val="both"/>
      </w:pPr>
      <w:r>
        <w:rPr>
          <w:sz w:val="19"/>
          <w:szCs w:val="19"/>
        </w:rPr>
        <w:t xml:space="preserve">MARTÍNEZ-DÍAZ, I. C. et al. Neurophysiological stress response and mood changes induced by high-intensity interval training: a pilot study. International Journal of Environmental Research and Public Health, v. 18, 2021.</w:t>
      </w:r>
    </w:p>
    <w:p>
      <w:pPr>
        <w:spacing w:after="100" w:line="260"/>
        <w:jc w:val="both"/>
      </w:pPr>
      <w:r>
        <w:rPr>
          <w:sz w:val="19"/>
          <w:szCs w:val="19"/>
        </w:rPr>
        <w:t xml:space="preserve">MCHORNEY, C. A.; TARLOV, A. R. Individual-patient monitoring in clinical practice: Are available health status surveys adequate? Quality of Life Research, v. 4, n. 4, p. 293-307, 1995.</w:t>
      </w:r>
    </w:p>
    <w:p>
      <w:pPr>
        <w:spacing w:after="100" w:line="260"/>
        <w:jc w:val="both"/>
      </w:pPr>
      <w:r>
        <w:rPr>
          <w:sz w:val="19"/>
          <w:szCs w:val="19"/>
        </w:rPr>
        <w:t xml:space="preserve">MCNAIR, D. M.; LORR, M.; DROPPLEMAN, L. F. Manual for the Profile of Mood States. [S. l.]: Educational and Industrial Testing Service, 1971.</w:t>
      </w:r>
    </w:p>
    <w:p>
      <w:pPr>
        <w:spacing w:after="100" w:line="260"/>
        <w:jc w:val="both"/>
      </w:pPr>
      <w:r>
        <w:rPr>
          <w:sz w:val="19"/>
          <w:szCs w:val="19"/>
        </w:rPr>
        <w:t xml:space="preserve">MEADE, A. W.; LAUTENSCHLAGER, G. J. A comparison of item response theory and confirmatory factor analytic methodologies for establishing measurement equivalence/invariance. Organizational Research Methods, v. 7, n. 4, p. 361-388, 2004.</w:t>
      </w:r>
    </w:p>
    <w:p>
      <w:pPr>
        <w:spacing w:after="100" w:line="260"/>
        <w:jc w:val="both"/>
      </w:pPr>
      <w:r>
        <w:rPr>
          <w:sz w:val="19"/>
          <w:szCs w:val="19"/>
        </w:rPr>
        <w:t xml:space="preserve">MEEUSEN, R.; DUCLOS, M.; FOSTER, C.; FRY, A.; GLEESON, M.; NIEMAN, D.; RAGLIN, J.; RIETJENS, G.; STEINACKER, J.; URHAUSEN, A. Prevention, diagnosis, and treatment of the overtraining syndrome: Joint consensus statement of the ECSS and ACSM. Medicine &amp; Science in Sports &amp; Exercise, v. 45, n. 1, p. 186-205, 2013.</w:t>
      </w:r>
    </w:p>
    <w:p>
      <w:pPr>
        <w:spacing w:after="100" w:line="260"/>
        <w:jc w:val="both"/>
      </w:pPr>
      <w:r>
        <w:rPr>
          <w:sz w:val="19"/>
          <w:szCs w:val="19"/>
        </w:rPr>
        <w:t xml:space="preserve">MICHALSIK, L. B.; AAGAARD, P. Physical demands in elite team handball: comparisons between male and female players. The Journal of Sports Medicine and Physical Fitness, v. 55, n. 9, p. 878-891, 2014.</w:t>
      </w:r>
    </w:p>
    <w:p>
      <w:pPr>
        <w:spacing w:after="100" w:line="260"/>
        <w:jc w:val="both"/>
      </w:pPr>
      <w:r>
        <w:rPr>
          <w:sz w:val="19"/>
          <w:szCs w:val="19"/>
        </w:rPr>
        <w:t xml:space="preserve">MORGAN, W. P. Selected psychological factors limiting performance: a mental health model. In: CLARKE, D. H.; ECKERT, H. M. (ed.). Limits of human performance. [S. l.]: Human Kinetics, 1985. p. 70-80.</w:t>
      </w:r>
    </w:p>
    <w:p>
      <w:pPr>
        <w:spacing w:after="100" w:line="260"/>
        <w:jc w:val="both"/>
      </w:pPr>
      <w:r>
        <w:rPr>
          <w:sz w:val="19"/>
          <w:szCs w:val="19"/>
        </w:rPr>
        <w:t xml:space="preserve">NAKAGAWA, S.; SCHIELZETH, H. A general and simple method for obtaining R² from generalized linear mixed-effects models. Methods in Ecology and Evolution, v. 4, n. 2, p. 133-142, 2013.</w:t>
      </w:r>
    </w:p>
    <w:p>
      <w:pPr>
        <w:spacing w:after="100" w:line="260"/>
        <w:jc w:val="both"/>
      </w:pPr>
      <w:r>
        <w:rPr>
          <w:sz w:val="19"/>
          <w:szCs w:val="19"/>
        </w:rPr>
        <w:t xml:space="preserve">PARSONS-SMITH, R. L.; TERRY, P. C.; MACHIN, M. A. Identification and description of novel mood profile clusters. Frontiers in Psychology, v. 8, p. 1958, 2017.</w:t>
      </w:r>
    </w:p>
    <w:p>
      <w:pPr>
        <w:spacing w:after="100" w:line="260"/>
        <w:jc w:val="both"/>
      </w:pPr>
      <w:r>
        <w:rPr>
          <w:sz w:val="19"/>
          <w:szCs w:val="19"/>
        </w:rPr>
        <w:t xml:space="preserve">PATTEN, R. K. et al. Longitudinal affective response to high-intensity interval training and moderate-intensity continuous training in overweight women with polycystic ovary syndrome: a randomised trial. Psychology of Sport and Exercise, v. 64, p. 102325, 2022. DOI: https://doi.org/10.1016/j.psychsport.2022.102325.</w:t>
      </w:r>
    </w:p>
    <w:p>
      <w:pPr>
        <w:spacing w:after="100" w:line="260"/>
        <w:jc w:val="both"/>
      </w:pPr>
      <w:r>
        <w:rPr>
          <w:sz w:val="19"/>
          <w:szCs w:val="19"/>
        </w:rPr>
        <w:t xml:space="preserve">PUTNICK, D. L.; BORNSTEIN, M. H. Measurement invariance conventions and reporting: The state of the art and future directions for psychological research. Developmental Review, v. 41, p. 71-90, 2016. DOI: https://doi.org/10.1016/j.dr.2016.06.004.</w:t>
      </w:r>
    </w:p>
    <w:p>
      <w:pPr>
        <w:spacing w:after="100" w:line="260"/>
        <w:jc w:val="both"/>
      </w:pPr>
      <w:r>
        <w:rPr>
          <w:sz w:val="19"/>
          <w:szCs w:val="19"/>
        </w:rPr>
        <w:t xml:space="preserve">PÓVOAS, S. C. A. et al. Physical and physiological demands of elite team handball. Journal of Strength and Conditioning Research, v. 26, n. 12, p. 3365-3375, 2012.</w:t>
      </w:r>
    </w:p>
    <w:p>
      <w:pPr>
        <w:spacing w:after="100" w:line="260"/>
        <w:jc w:val="both"/>
      </w:pPr>
      <w:r>
        <w:rPr>
          <w:sz w:val="19"/>
          <w:szCs w:val="19"/>
        </w:rPr>
        <w:t xml:space="preserve">RHEMTULLA, M.; BROSSEAU-LIARD, P. É.; SAVALEI, V. When can categorical variables be treated as continuous? A comparison of robust continuous and categorical SEM estimation methods under suboptimal conditions. Psychological Methods, v. 17, n. 3, p. 354-373, 2012. DOI: https://doi.org/10.1037/a0029315.</w:t>
      </w:r>
    </w:p>
    <w:p>
      <w:pPr>
        <w:spacing w:after="100" w:line="260"/>
        <w:jc w:val="both"/>
      </w:pPr>
      <w:r>
        <w:rPr>
          <w:sz w:val="19"/>
          <w:szCs w:val="19"/>
        </w:rPr>
        <w:t xml:space="preserve">ROEMER, E.; SCHUBERTH, F.; HENSELER, J. HTMT2—an improved criterion for assessing discriminant validity in structural equation modeling. Industrial Management &amp; Data Systems, v. 121, n. 12, p. 2637-2650, 2021. DOI: https://doi.org/10.1108/IMDS-02-2021-0082.</w:t>
      </w:r>
    </w:p>
    <w:p>
      <w:pPr>
        <w:spacing w:after="100" w:line="260"/>
        <w:jc w:val="both"/>
      </w:pPr>
      <w:r>
        <w:rPr>
          <w:sz w:val="19"/>
          <w:szCs w:val="19"/>
        </w:rPr>
        <w:t xml:space="preserve">ROHLFS, I. C. P. M. et al. A Escala de Humor de Brunel (BRUMS). Revista Brasileira de Medicina do Esporte, v. 10, n. 6, p. 496-504, 2004.</w:t>
      </w:r>
    </w:p>
    <w:p>
      <w:pPr>
        <w:spacing w:after="100" w:line="260"/>
        <w:jc w:val="both"/>
      </w:pPr>
      <w:r>
        <w:rPr>
          <w:sz w:val="19"/>
          <w:szCs w:val="19"/>
        </w:rPr>
        <w:t xml:space="preserve">ROUDER, J. N.; SPECKMAN, P. L.; SUN, D.; MOREY, R. D.; IVERSON, G. Bayesian t tests for accepting and rejecting the null hypothesis. Psychonomic Bulletin &amp; Review, v. 16, n. 2, p. 225-237, 2009.</w:t>
      </w:r>
    </w:p>
    <w:p>
      <w:pPr>
        <w:spacing w:after="100" w:line="260"/>
        <w:jc w:val="both"/>
      </w:pPr>
      <w:r>
        <w:rPr>
          <w:sz w:val="19"/>
          <w:szCs w:val="19"/>
        </w:rPr>
        <w:t xml:space="preserve">SAMEJIMA, F. Estimation of latent ability using a response pattern of graded scores. Psychometrika Monograph Supplement, v. 34, n. 4, pt. 2, 1969.</w:t>
      </w:r>
    </w:p>
    <w:p>
      <w:pPr>
        <w:spacing w:after="100" w:line="260"/>
        <w:jc w:val="both"/>
      </w:pPr>
      <w:r>
        <w:rPr>
          <w:sz w:val="19"/>
          <w:szCs w:val="19"/>
        </w:rPr>
        <w:t xml:space="preserve">SANT’ANA, L. et al. Load and psychophysiological responses in high-intensity interval training with fixed and self-selected recovery. Retos, 2025.</w:t>
      </w:r>
    </w:p>
    <w:p>
      <w:pPr>
        <w:spacing w:after="100" w:line="260"/>
        <w:jc w:val="both"/>
      </w:pPr>
      <w:r>
        <w:rPr>
          <w:sz w:val="19"/>
          <w:szCs w:val="19"/>
        </w:rPr>
        <w:t xml:space="preserve">SAW, A. E.; MAIN, L. C.; GASTIN, P. B. Monitoring the athlete training response: subjective self-reported measures trump commonly used objective measures. British Journal of Sports Medicine, v. 50, n. 5, p. 281-291, 2016.</w:t>
      </w:r>
    </w:p>
    <w:p>
      <w:pPr>
        <w:spacing w:after="100" w:line="260"/>
        <w:jc w:val="both"/>
      </w:pPr>
      <w:r>
        <w:rPr>
          <w:sz w:val="19"/>
          <w:szCs w:val="19"/>
        </w:rPr>
        <w:t xml:space="preserve">SAW, A. E.; MAIN, L. C.; GASTIN, P. B. Monitoring the athlete training response: subjective self-reported measures trump commonly used objective measures: a systematic review. British Journal of Sports Medicine, v. 50, n. 5, p. 281-291, 2016. DOI: https://doi.org/10.1136/bjsports-2015-094758.</w:t>
      </w:r>
    </w:p>
    <w:p>
      <w:pPr>
        <w:spacing w:after="100" w:line="260"/>
        <w:jc w:val="both"/>
      </w:pPr>
      <w:r>
        <w:rPr>
          <w:sz w:val="19"/>
          <w:szCs w:val="19"/>
        </w:rPr>
        <w:t xml:space="preserve">SELMI, O.; BEN KHALIFA, W.; ZOUAOUI, M.; AZAIEZ, F.; BOUASSIDA, A. High intensity interval training negatively affects mood state in professional athletes. Science &amp; Sports, v. 33, n. 4, p. e151-e157, 2018a. DOI: https://doi.org/10.1016/j.scispo.2018.01.008.</w:t>
      </w:r>
    </w:p>
    <w:p>
      <w:pPr>
        <w:spacing w:after="100" w:line="260"/>
        <w:jc w:val="both"/>
      </w:pPr>
      <w:r>
        <w:rPr>
          <w:sz w:val="19"/>
          <w:szCs w:val="19"/>
        </w:rPr>
        <w:t xml:space="preserve">SELMI, O.; HADDAD, M.; MAJED, L.; BEN KHALIFA, W.; HAMZA, M.; CHAMARI, K. Soccer training: high-intensity interval training is mood disturbing while small sided games ensure mood balance. Journal of Sports Medicine and Physical Fitness, v. 58, n. 7-8, p. 1163-1170, 2018b. DOI: https://doi.org/10.23736/S0022-4707.17.07292-9.</w:t>
      </w:r>
    </w:p>
    <w:p>
      <w:pPr>
        <w:spacing w:after="100" w:line="260"/>
        <w:jc w:val="both"/>
      </w:pPr>
      <w:r>
        <w:rPr>
          <w:sz w:val="19"/>
          <w:szCs w:val="19"/>
        </w:rPr>
        <w:t xml:space="preserve">SOYLU, Y. et al. Psychometric properties of the Brunel Mood Scale in Turkish adults and adolescent athletes. SPORMETRE, 2022.</w:t>
      </w:r>
    </w:p>
    <w:p>
      <w:pPr>
        <w:spacing w:after="100" w:line="260"/>
        <w:jc w:val="both"/>
      </w:pPr>
      <w:r>
        <w:rPr>
          <w:sz w:val="19"/>
          <w:szCs w:val="19"/>
        </w:rPr>
        <w:t xml:space="preserve">STÖGGL, T. et al. The Salzburg 10/7 HIIT shock cycle study. BMC Sports Science, Medicine and Rehabilitation, 2022.</w:t>
      </w:r>
    </w:p>
    <w:p>
      <w:pPr>
        <w:spacing w:after="100" w:line="260"/>
        <w:jc w:val="both"/>
      </w:pPr>
      <w:r>
        <w:rPr>
          <w:sz w:val="19"/>
          <w:szCs w:val="19"/>
        </w:rPr>
        <w:t xml:space="preserve">TAY, L.; MEADE, A. W.; CAO, M. An overview and practical guide to IRT measurement equivalence analysis. Organizational Research Methods, v. 18, n. 1, p. 3-46, 2015.</w:t>
      </w:r>
    </w:p>
    <w:p>
      <w:pPr>
        <w:spacing w:after="100" w:line="260"/>
        <w:jc w:val="both"/>
      </w:pPr>
      <w:r>
        <w:rPr>
          <w:sz w:val="19"/>
          <w:szCs w:val="19"/>
        </w:rPr>
        <w:t xml:space="preserve">TERRY, P. C. et al. Validation of a Lithuanian-language version of the Brunel Mood Scale: the BRUMS-LTU. International Journal of Environmental Research and Public Health, v. 19, n. 8, art. 4867, 2022. DOI: https://doi.org/10.3390/ijerph19084867.</w:t>
      </w:r>
    </w:p>
    <w:p>
      <w:pPr>
        <w:spacing w:after="100" w:line="260"/>
        <w:jc w:val="both"/>
      </w:pPr>
      <w:r>
        <w:rPr>
          <w:sz w:val="19"/>
          <w:szCs w:val="19"/>
        </w:rPr>
        <w:t xml:space="preserve">TERRY, P. C.; LANE, A. M. Normative values for the Profile of Mood States for use with athletic samples. Journal of Applied Sport Psychology, v. 12, n. 1, p. 93-109, 2000.</w:t>
      </w:r>
    </w:p>
    <w:p>
      <w:pPr>
        <w:spacing w:after="100" w:line="260"/>
        <w:jc w:val="both"/>
      </w:pPr>
      <w:r>
        <w:rPr>
          <w:sz w:val="19"/>
          <w:szCs w:val="19"/>
        </w:rPr>
        <w:t xml:space="preserve">TERRY, P. C.; LANE, A. M.; FOGARTY, G. J. Construct validity of the POMS-A. Psychology of Sport and Exercise, v. 4, n. 2, p. 125-139, 2003.</w:t>
      </w:r>
    </w:p>
    <w:p>
      <w:pPr>
        <w:spacing w:after="100" w:line="260"/>
        <w:jc w:val="both"/>
      </w:pPr>
      <w:r>
        <w:rPr>
          <w:sz w:val="19"/>
          <w:szCs w:val="19"/>
        </w:rPr>
        <w:t xml:space="preserve">TERRY, P. C.; LANE, A. M.; LANE, H. J.; KEOHANE, L. Development and validation of a mood measure for adolescents. Journal of Sports Sciences, v. 17, n. 11, p. 861-872, 1999.</w:t>
      </w:r>
    </w:p>
    <w:p>
      <w:pPr>
        <w:spacing w:after="100" w:line="260"/>
        <w:jc w:val="both"/>
      </w:pPr>
      <w:r>
        <w:rPr>
          <w:sz w:val="19"/>
          <w:szCs w:val="19"/>
        </w:rPr>
        <w:t xml:space="preserve">TERWEE, C. B.; BOT, S. D. M.; DE BOER, M. R.; VAN DER WINDT, D. A. W. M.; KNOL, D. L.; DEKKER, J.; BOUTER, L. M.; DE VET, H. C. W. Quality criteria were proposed for measurement properties of health status questionnaires. Journal of Clinical Epidemiology, v. 60, n. 1, p. 34-42, 2007.</w:t>
      </w:r>
    </w:p>
    <w:p>
      <w:pPr>
        <w:spacing w:after="100" w:line="260"/>
        <w:jc w:val="both"/>
      </w:pPr>
      <w:r>
        <w:rPr>
          <w:sz w:val="19"/>
          <w:szCs w:val="19"/>
        </w:rPr>
        <w:t xml:space="preserve">THORPE, R. T. et al. Monitoring fatigue status in elite team-sport athletes. International Journal of Sports Physiology and Performance, v. 12, n. s2, p. S2-27-S2-34, 2017.</w:t>
      </w:r>
    </w:p>
    <w:p>
      <w:pPr>
        <w:spacing w:after="100" w:line="260"/>
        <w:jc w:val="both"/>
      </w:pPr>
      <w:r>
        <w:rPr>
          <w:sz w:val="19"/>
          <w:szCs w:val="19"/>
        </w:rPr>
        <w:t xml:space="preserve">VLACHOPOULOS, S. P. et al. A Greek translation of the Brunel Mood Scale: initial validation among exercise participants and inactive adults. Sports, v. 11, 2023.</w:t>
      </w:r>
    </w:p>
    <w:p>
      <w:pPr>
        <w:spacing w:after="100" w:line="260"/>
        <w:jc w:val="both"/>
      </w:pPr>
      <w:r>
        <w:rPr>
          <w:sz w:val="19"/>
          <w:szCs w:val="19"/>
        </w:rPr>
        <w:t xml:space="preserve">VLACHOPOULOS, S. P.; LANE, A. M.; TERRY, P. C. A Greek translation of the Brunel Mood Scale: initial validation among exercise participants and inactive adults. Sports, v. 11, n. 12, art. 234, 2023. DOI: https://doi.org/10.3390/sports11120234.</w:t>
      </w:r>
    </w:p>
    <w:p>
      <w:pPr>
        <w:spacing w:after="100" w:line="260"/>
        <w:jc w:val="both"/>
      </w:pPr>
      <w:r>
        <w:rPr>
          <w:sz w:val="19"/>
          <w:szCs w:val="19"/>
        </w:rPr>
        <w:t xml:space="preserve">WIEWELHOVE, T.; RAEDER, C.; MEYER, T.; KELLMANN, M.; PFEIFFER, M.; FERRAUTI, A. Markers for routine assessment of fatigue and recovery in male and female team sport athletes during high-intensity interval training. PLoS ONE, v. 10, n. 10, p. e0139801, 2015. DOI: https://doi.org/10.1371/journal.pone.0139801.</w:t>
      </w:r>
    </w:p>
    <w:p>
      <w:pPr>
        <w:spacing w:after="100" w:line="260"/>
        <w:jc w:val="both"/>
      </w:pPr>
      <w:r>
        <w:rPr>
          <w:sz w:val="19"/>
          <w:szCs w:val="19"/>
        </w:rPr>
        <w:t xml:space="preserve">WINDT, J.; GABBETT, T. J. How do training and competition workloads relate to injury? The workload-injury aetiology model. British Journal of Sports Medicine, v. 51, n. 5, p. 428-435, 2016. DOI: https://doi.org/10.1136/bjsports-2016-096040.</w:t>
      </w:r>
    </w:p>
    <w:p>
      <w:pPr>
        <w:spacing w:after="100" w:line="260"/>
        <w:jc w:val="both"/>
      </w:pPr>
      <w:r>
        <w:rPr>
          <w:sz w:val="19"/>
          <w:szCs w:val="19"/>
        </w:rPr>
        <w:t xml:space="preserve">WU, H.; ESTABROOK, R. Identification of confirmatory factor analysis models of different levels of invariance for ordered categorical outcomes. Psychometrika, v. 81, n. 4, p. 1014-1045, 2016. DOI: https://doi.org/10.1007/s11336-016-9506-0.</w:t>
      </w:r>
    </w:p>
    <w:p>
      <w:pPr>
        <w:spacing w:after="100" w:line="260"/>
        <w:jc w:val="both"/>
      </w:pPr>
      <w:r>
        <w:rPr>
          <w:sz w:val="19"/>
          <w:szCs w:val="19"/>
        </w:rPr>
        <w:t xml:space="preserve">YACOUBI, A. et al. Validation of the Arabic version of the Brunel Mood Scale (BRUMS-AR) for use with football players in Ramadan. International Journal of Sport Studies for Health, 2025.</w:t>
      </w:r>
    </w:p>
    <w:p>
      <w:pPr>
        <w:spacing w:after="100" w:line="260"/>
        <w:jc w:val="both"/>
      </w:pPr>
      <w:r>
        <w:rPr>
          <w:sz w:val="19"/>
          <w:szCs w:val="19"/>
        </w:rPr>
        <w:t xml:space="preserve">ZHANG, C.-Q. et al. Psychometric properties of the Brunel Mood Scale in Chinese adolescents and adults. Journal of Sports Sciences, v. 32, n. 15, p. 1465-1476, 2014. DOI: https://doi.org/10.1080/02640414.2014.898184.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7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22438"/>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245C8B"/>
      <w:sz w:val="24"/>
      <w:szCs w:val="24"/>
    </w:rPr>
  </w:style>
  <w:style w:type="paragraph" w:styleId="Heading3">
    <w:name w:val="Heading 3"/>
    <w:basedOn w:val="Normal"/>
    <w:next w:val="Normal"/>
    <w:qFormat/>
    <w:pPr>
      <w:spacing w:after="80" w:before="180"/>
      <w:outlineLvl w:val="2"/>
    </w:pPr>
    <w:rPr>
      <w:rFonts w:ascii="Cambria" w:cs="Cambria" w:eastAsia="Cambria" w:hAnsi="Cambria"/>
      <w:b/>
      <w:bCs/>
      <w:color w:val="0E8C8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f45a55813d557379bbdbf89f130681da12e70f.png"/><Relationship Id="rId8" Type="http://schemas.openxmlformats.org/officeDocument/2006/relationships/image" Target="media/86ed23bd8cd33cea74c52b3593eb5a8498dde714.png"/><Relationship Id="rId9" Type="http://schemas.openxmlformats.org/officeDocument/2006/relationships/image" Target="media/b28f484eb0d203b93a4fbb6118409666f646f310.png"/><Relationship Id="rId10" Type="http://schemas.openxmlformats.org/officeDocument/2006/relationships/image" Target="media/a7c47b88d18303a952f3eb3d9b400e1d27e9c6a8.png"/><Relationship Id="rId11" Type="http://schemas.openxmlformats.org/officeDocument/2006/relationships/image" Target="media/dd144272af6d081e4cff0e771f7e838f41aa34c1.png"/><Relationship Id="rId12" Type="http://schemas.openxmlformats.org/officeDocument/2006/relationships/image" Target="media/2735acd9d8714ebeb08aee958a47dacdca55af31.png"/><Relationship Id="rId13" Type="http://schemas.openxmlformats.org/officeDocument/2006/relationships/image" Target="media/4249b929b4b24389903495ef486d91eecfeea8dd.png"/><Relationship Id="rId14" Type="http://schemas.openxmlformats.org/officeDocument/2006/relationships/image" Target="media/69057fd07b1b8e9733651c0ba83b9e4c60ec7712.png"/><Relationship Id="rId15" Type="http://schemas.openxmlformats.org/officeDocument/2006/relationships/image" Target="media/3e5d158444574805c784c14a5ced73df14e5e1cf.png"/><Relationship Id="rId16" Type="http://schemas.openxmlformats.org/officeDocument/2006/relationships/image" Target="media/f152e9ce69965e8a698c3566ef24cd5c3371d613.png"/><Relationship Id="rId17" Type="http://schemas.openxmlformats.org/officeDocument/2006/relationships/image" Target="media/8c11f5a92c9f0b12ad565bed8a6e71e0e70ab1b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Artigo — BRUMS × HIIT no handebol (formato A1)</dc:title>
  <dc:creator>BRUMS × HIIT</dc:creator>
  <cp:lastModifiedBy>Un-named</cp:lastModifiedBy>
  <cp:revision>1</cp:revision>
  <dcterms:created xsi:type="dcterms:W3CDTF">2026-08-02T19:47:09.581Z</dcterms:created>
  <dcterms:modified xsi:type="dcterms:W3CDTF">2026-08-02T19:47:09.581Z</dcterms:modified>
</cp:coreProperties>
</file>

<file path=docProps/custom.xml><?xml version="1.0" encoding="utf-8"?>
<Properties xmlns="http://schemas.openxmlformats.org/officeDocument/2006/custom-properties" xmlns:vt="http://schemas.openxmlformats.org/officeDocument/2006/docPropsVTypes"/>
</file>