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√(1 -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S1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S2)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distribuição completa da PTH em cada dia (Figura S3) e a sua distribuição acumulada (Figura S4)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5;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S5),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 A Figura S6 apresenta esses escores por dia e mostra que a diferença entre pré e pós-treino se mantém ao longo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relação entre o vigor e a fadiga, além de negativa, tornou-se mais estreita à medida que a carga se acumulou (Figura 6): a regressão por fase do microciclo mostrou um acoplamento fraco na fase inicial (r = -0,35) e mais forte na fase de acúmulo (r = -0,51), o que sugere que os dois polos do eixo energia–fadiga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reg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Relação entre vigor e fadiga por fase do microciclo, com a reta de regressão de cada grupo (início: dias 1 a 4; acúmulo: dias 5 a 7).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7)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Materiais Suplementares: </w:t>
      </w:r>
      <w:r>
        <w:rPr>
          <w:rFonts w:ascii="Palatino Linotype" w:hAnsi="Palatino Linotype"/>
          <w:sz w:val="18"/>
        </w:rPr>
        <w:t>As figuras suplementares (Figuras S1 a S6) estão disponíveis ao fim deste documento e detalham a distribuição diária das dimensões, as comparações par a par da PTH, os diagramas de violino e a distribuição acumulada, as médias marginais diárias e a resposta pré e pós-treino.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p>
      <w:pPr>
        <w:spacing w:before="240" w:after="60" w:line="276" w:lineRule="auto"/>
      </w:pPr>
      <w:r>
        <w:rPr>
          <w:rFonts w:ascii="Palatino Linotype" w:hAnsi="Palatino Linotype"/>
          <w:b/>
          <w:sz w:val="20"/>
        </w:rPr>
        <w:t>Material Suplementar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figuras a seguir complementam os resultados do corpo do artigo e detalham a distribuição diária, a resposta aguda pré e pós-treino e as comparações par a par.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S1.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S2.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46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viol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S3. </w:t>
      </w:r>
      <w:r>
        <w:rPr>
          <w:rFonts w:ascii="Palatino Linotype" w:hAnsi="Palatino Linotype"/>
          <w:sz w:val="18"/>
        </w:rPr>
        <w:t>Distribuição da PTH por dia (diagramas de violino com caixa e média; a escala foi ajustada à faixa central da distribuição para facilitar a leitura).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74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ec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S4. </w:t>
      </w:r>
      <w:r>
        <w:rPr>
          <w:rFonts w:ascii="Palatino Linotype" w:hAnsi="Palatino Linotype"/>
          <w:sz w:val="18"/>
        </w:rPr>
        <w:t>Distribuição acumulada (ECDF) da PTH no Dia 1, no Dia 4 e no Dia 7; o deslocamento das curvas para a direita indica o aumento da perturbação ao longo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S5.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S6.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