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S1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line="360" w:lineRule="auto" w:after="0"/>
        <w:ind w:firstLine="709"/>
        <w:jc w:val="both"/>
      </w:pPr>
      <w:r>
        <w:rPr>
          <w:b w:val="0"/>
          <w:sz w:val="24"/>
        </w:rPr>
        <w:t>A comparação direta da PTH entre três momentos do microciclo (Figura S2) ilustra a mesma tendência: a perturbação total do humor aumentou do primeiro para o último dia, e a diferença foi significativa entre o Dia 1 e o Dia 7 (p = 0,008), ao passo que as comparações entre dias adjacentes não alcançaram significância.</w:t>
      </w:r>
    </w:p>
    <w:p>
      <w:pPr>
        <w:spacing w:line="360" w:lineRule="auto" w:after="0"/>
        <w:ind w:firstLine="709"/>
        <w:jc w:val="both"/>
      </w:pPr>
      <w:r>
        <w:rPr>
          <w:b w:val="0"/>
          <w:sz w:val="24"/>
        </w:rPr>
        <w:t>A distribuição completa da PTH em cada dia (Figura S3) e a sua distribuição acumulada (Figura S4)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5;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5" name="Picture 5"/>
            <wp:cNvGraphicFramePr>
              <a:graphicFrameLocks noChangeAspect="1"/>
            </wp:cNvGraphicFramePr>
            <a:graphic>
              <a:graphicData uri="http://schemas.openxmlformats.org/drawingml/2006/picture">
                <pic:pic>
                  <pic:nvPicPr>
                    <pic:cNvPr id="0" name="smooth_deriv.png"/>
                    <pic:cNvPicPr/>
                  </pic:nvPicPr>
                  <pic:blipFill>
                    <a:blip r:embed="rId13"/>
                    <a:stretch>
                      <a:fillRect/>
                    </a:stretch>
                  </pic:blipFill>
                  <pic:spPr>
                    <a:xfrm>
                      <a:off x="0" y="0"/>
                      <a:ext cx="4500000" cy="2884615"/>
                    </a:xfrm>
                    <a:prstGeom prst="rect"/>
                  </pic:spPr>
                </pic:pic>
              </a:graphicData>
            </a:graphic>
          </wp:inline>
        </w:drawing>
      </w:r>
    </w:p>
    <w:p>
      <w:pPr>
        <w:jc w:val="center"/>
      </w:pPr>
      <w:r>
        <w:rPr>
          <w:sz w:val="22"/>
        </w:rPr>
        <w:t>Figura 5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S5),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S6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6):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6" name="Picture 6"/>
            <wp:cNvGraphicFramePr>
              <a:graphicFrameLocks noChangeAspect="1"/>
            </wp:cNvGraphicFramePr>
            <a:graphic>
              <a:graphicData uri="http://schemas.openxmlformats.org/drawingml/2006/picture">
                <pic:pic>
                  <pic:nvPicPr>
                    <pic:cNvPr id="0" name="tec_regr.png"/>
                    <pic:cNvPicPr/>
                  </pic:nvPicPr>
                  <pic:blipFill>
                    <a:blip r:embed="rId14"/>
                    <a:stretch>
                      <a:fillRect/>
                    </a:stretch>
                  </pic:blipFill>
                  <pic:spPr>
                    <a:xfrm>
                      <a:off x="0" y="0"/>
                      <a:ext cx="4500000" cy="2976923"/>
                    </a:xfrm>
                    <a:prstGeom prst="rect"/>
                  </pic:spPr>
                </pic:pic>
              </a:graphicData>
            </a:graphic>
          </wp:inline>
        </w:drawing>
      </w:r>
    </w:p>
    <w:p>
      <w:pPr>
        <w:jc w:val="center"/>
      </w:pPr>
      <w:r>
        <w:rPr>
          <w:sz w:val="22"/>
        </w:rPr>
        <w:t>Figura 6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7)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7" name="Picture 7"/>
            <wp:cNvGraphicFramePr>
              <a:graphicFrameLocks noChangeAspect="1"/>
            </wp:cNvGraphicFramePr>
            <a:graphic>
              <a:graphicData uri="http://schemas.openxmlformats.org/drawingml/2006/picture">
                <pic:pic>
                  <pic:nvPicPr>
                    <pic:cNvPr id="0" name="pca_circulo.png"/>
                    <pic:cNvPicPr/>
                  </pic:nvPicPr>
                  <pic:blipFill>
                    <a:blip r:embed="rId15"/>
                    <a:stretch>
                      <a:fillRect/>
                    </a:stretch>
                  </pic:blipFill>
                  <pic:spPr>
                    <a:xfrm>
                      <a:off x="0" y="0"/>
                      <a:ext cx="4320000" cy="4114286"/>
                    </a:xfrm>
                    <a:prstGeom prst="rect"/>
                  </pic:spPr>
                </pic:pic>
              </a:graphicData>
            </a:graphic>
          </wp:inline>
        </w:drawing>
      </w:r>
    </w:p>
    <w:p>
      <w:pPr>
        <w:jc w:val="center"/>
      </w:pPr>
      <w:r>
        <w:rPr>
          <w:sz w:val="22"/>
        </w:rPr>
        <w:t>Figura 7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p>
      <w:pPr>
        <w:spacing w:before="240" w:after="80" w:line="360" w:lineRule="auto"/>
      </w:pPr>
      <w:r>
        <w:rPr>
          <w:b/>
          <w:sz w:val="24"/>
        </w:rPr>
        <w:t>MATERIAL SUPLEMENTAR</w:t>
      </w:r>
    </w:p>
    <w:p>
      <w:pPr>
        <w:spacing w:line="360" w:lineRule="auto" w:after="80"/>
        <w:ind w:firstLine="709"/>
        <w:jc w:val="both"/>
      </w:pPr>
      <w:r>
        <w:rPr>
          <w:b w:val="0"/>
          <w:sz w:val="24"/>
        </w:rPr>
        <w:t>As figuras a seguir complementam os resultados do corpo do artigo e detalham a distribuição diária das dimensões, a resposta aguda pré e pós-treino e as comparações par a par.</w:t>
      </w:r>
    </w:p>
    <w:p>
      <w:pPr>
        <w:spacing w:before="120"/>
        <w:jc w:val="center"/>
      </w:pPr>
      <w:r>
        <w:drawing>
          <wp:inline xmlns:a="http://schemas.openxmlformats.org/drawingml/2006/main" xmlns:pic="http://schemas.openxmlformats.org/drawingml/2006/picture">
            <wp:extent cx="5400000" cy="2630769"/>
            <wp:docPr id="8" name="Picture 8"/>
            <wp:cNvGraphicFramePr>
              <a:graphicFrameLocks noChangeAspect="1"/>
            </wp:cNvGraphicFramePr>
            <a:graphic>
              <a:graphicData uri="http://schemas.openxmlformats.org/drawingml/2006/picture">
                <pic:pic>
                  <pic:nvPicPr>
                    <pic:cNvPr id="0" name="xb3_box.png"/>
                    <pic:cNvPicPr/>
                  </pic:nvPicPr>
                  <pic:blipFill>
                    <a:blip r:embed="rId16"/>
                    <a:stretch>
                      <a:fillRect/>
                    </a:stretch>
                  </pic:blipFill>
                  <pic:spPr>
                    <a:xfrm>
                      <a:off x="0" y="0"/>
                      <a:ext cx="5400000" cy="2630769"/>
                    </a:xfrm>
                    <a:prstGeom prst="rect"/>
                  </pic:spPr>
                </pic:pic>
              </a:graphicData>
            </a:graphic>
          </wp:inline>
        </w:drawing>
      </w:r>
    </w:p>
    <w:p>
      <w:pPr>
        <w:jc w:val="center"/>
      </w:pPr>
      <w:r>
        <w:rPr>
          <w:sz w:val="22"/>
        </w:rPr>
        <w:t>Figura S1 – Diagramas de caixa das seis dimensões do BRUMS por dia do microciclo (áreas sombreadas: início e acúmulo da semana).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140000" cy="2737742"/>
            <wp:docPr id="9" name="Picture 9"/>
            <wp:cNvGraphicFramePr>
              <a:graphicFrameLocks noChangeAspect="1"/>
            </wp:cNvGraphicFramePr>
            <a:graphic>
              <a:graphicData uri="http://schemas.openxmlformats.org/drawingml/2006/picture">
                <pic:pic>
                  <pic:nvPicPr>
                    <pic:cNvPr id="0" name="box_signif.png"/>
                    <pic:cNvPicPr/>
                  </pic:nvPicPr>
                  <pic:blipFill>
                    <a:blip r:embed="rId17"/>
                    <a:stretch>
                      <a:fillRect/>
                    </a:stretch>
                  </pic:blipFill>
                  <pic:spPr>
                    <a:xfrm>
                      <a:off x="0" y="0"/>
                      <a:ext cx="4140000" cy="2737742"/>
                    </a:xfrm>
                    <a:prstGeom prst="rect"/>
                  </pic:spPr>
                </pic:pic>
              </a:graphicData>
            </a:graphic>
          </wp:inline>
        </w:drawing>
      </w:r>
    </w:p>
    <w:p>
      <w:pPr>
        <w:jc w:val="center"/>
      </w:pPr>
      <w:r>
        <w:rPr>
          <w:sz w:val="22"/>
        </w:rPr>
        <w:t>Figura S2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680000" cy="2741143"/>
            <wp:docPr id="10" name="Picture 10"/>
            <wp:cNvGraphicFramePr>
              <a:graphicFrameLocks noChangeAspect="1"/>
            </wp:cNvGraphicFramePr>
            <a:graphic>
              <a:graphicData uri="http://schemas.openxmlformats.org/drawingml/2006/picture">
                <pic:pic>
                  <pic:nvPicPr>
                    <pic:cNvPr id="0" name="tec_violin.png"/>
                    <pic:cNvPicPr/>
                  </pic:nvPicPr>
                  <pic:blipFill>
                    <a:blip r:embed="rId18"/>
                    <a:stretch>
                      <a:fillRect/>
                    </a:stretch>
                  </pic:blipFill>
                  <pic:spPr>
                    <a:xfrm>
                      <a:off x="0" y="0"/>
                      <a:ext cx="4680000" cy="2741143"/>
                    </a:xfrm>
                    <a:prstGeom prst="rect"/>
                  </pic:spPr>
                </pic:pic>
              </a:graphicData>
            </a:graphic>
          </wp:inline>
        </w:drawing>
      </w:r>
    </w:p>
    <w:p>
      <w:pPr>
        <w:jc w:val="center"/>
      </w:pPr>
      <w:r>
        <w:rPr>
          <w:sz w:val="22"/>
        </w:rPr>
        <w:t>Figura S3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1" name="Picture 11"/>
            <wp:cNvGraphicFramePr>
              <a:graphicFrameLocks noChangeAspect="1"/>
            </wp:cNvGraphicFramePr>
            <a:graphic>
              <a:graphicData uri="http://schemas.openxmlformats.org/drawingml/2006/picture">
                <pic:pic>
                  <pic:nvPicPr>
                    <pic:cNvPr id="0" name="tec_ecdf.png"/>
                    <pic:cNvPicPr/>
                  </pic:nvPicPr>
                  <pic:blipFill>
                    <a:blip r:embed="rId19"/>
                    <a:stretch>
                      <a:fillRect/>
                    </a:stretch>
                  </pic:blipFill>
                  <pic:spPr>
                    <a:xfrm>
                      <a:off x="0" y="0"/>
                      <a:ext cx="4500000" cy="2571429"/>
                    </a:xfrm>
                    <a:prstGeom prst="rect"/>
                  </pic:spPr>
                </pic:pic>
              </a:graphicData>
            </a:graphic>
          </wp:inline>
        </w:drawing>
      </w:r>
    </w:p>
    <w:p>
      <w:pPr>
        <w:jc w:val="center"/>
      </w:pPr>
      <w:r>
        <w:rPr>
          <w:sz w:val="22"/>
        </w:rPr>
        <w:t>Figura S4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2644800"/>
            <wp:docPr id="12" name="Picture 12"/>
            <wp:cNvGraphicFramePr>
              <a:graphicFrameLocks noChangeAspect="1"/>
            </wp:cNvGraphicFramePr>
            <a:graphic>
              <a:graphicData uri="http://schemas.openxmlformats.org/drawingml/2006/picture">
                <pic:pic>
                  <pic:nvPicPr>
                    <pic:cNvPr id="0" name="ph_emm.png"/>
                    <pic:cNvPicPr/>
                  </pic:nvPicPr>
                  <pic:blipFill>
                    <a:blip r:embed="rId20"/>
                    <a:stretch>
                      <a:fillRect/>
                    </a:stretch>
                  </pic:blipFill>
                  <pic:spPr>
                    <a:xfrm>
                      <a:off x="0" y="0"/>
                      <a:ext cx="5220000" cy="2644800"/>
                    </a:xfrm>
                    <a:prstGeom prst="rect"/>
                  </pic:spPr>
                </pic:pic>
              </a:graphicData>
            </a:graphic>
          </wp:inline>
        </w:drawing>
      </w:r>
    </w:p>
    <w:p>
      <w:pPr>
        <w:jc w:val="center"/>
      </w:pPr>
      <w:r>
        <w:rPr>
          <w:sz w:val="22"/>
        </w:rPr>
        <w:t>Figura S5 – Médias marginais diárias do vigor, da fadiga e da fadiga física, com comparação de todos os dias ao Dia 1 (* p &lt; 0,05).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884615"/>
            <wp:docPr id="13" name="Picture 13"/>
            <wp:cNvGraphicFramePr>
              <a:graphicFrameLocks noChangeAspect="1"/>
            </wp:cNvGraphicFramePr>
            <a:graphic>
              <a:graphicData uri="http://schemas.openxmlformats.org/drawingml/2006/picture">
                <pic:pic>
                  <pic:nvPicPr>
                    <pic:cNvPr id="0" name="abnt_f_prepos.png"/>
                    <pic:cNvPicPr/>
                  </pic:nvPicPr>
                  <pic:blipFill>
                    <a:blip r:embed="rId21"/>
                    <a:stretch>
                      <a:fillRect/>
                    </a:stretch>
                  </pic:blipFill>
                  <pic:spPr>
                    <a:xfrm>
                      <a:off x="0" y="0"/>
                      <a:ext cx="4500000" cy="2884615"/>
                    </a:xfrm>
                    <a:prstGeom prst="rect"/>
                  </pic:spPr>
                </pic:pic>
              </a:graphicData>
            </a:graphic>
          </wp:inline>
        </w:drawing>
      </w:r>
    </w:p>
    <w:p>
      <w:pPr>
        <w:jc w:val="center"/>
      </w:pPr>
      <w:r>
        <w:rPr>
          <w:sz w:val="22"/>
        </w:rPr>
        <w:t>Figura S6 – Escores de vigor, fadiga e perturbação total do humor no pré e no pós-treino, por dia.</w:t>
      </w:r>
    </w:p>
    <w:p>
      <w:pPr>
        <w:spacing w:after="120"/>
        <w:jc w:val="center"/>
      </w:pPr>
      <w:r>
        <w:rPr>
          <w:sz w:val="18"/>
        </w:rPr>
        <w:t>Fonte: elaboração dos autores (2026).</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