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Objetivo: </w:t>
      </w:r>
      <w:r>
        <w:rPr>
          <w:b w:val="0"/>
          <w:sz w:val="24"/>
        </w:rPr>
        <w:t xml:space="preserve">caracterizar e analisar o perfil de humor de atletas de handebol de elite ao longo da última semana de pré-temporada, comparando cada dimensão do BRUMS entre todos os dias e identificando os dias de maior e menor expressão de cada estado de humor, com a aptidão aeróbia intermitente como parâmetro fisiológico. </w:t>
      </w:r>
      <w:r>
        <w:rPr>
          <w:b/>
          <w:sz w:val="24"/>
        </w:rPr>
        <w:t xml:space="preserve">Método: </w:t>
      </w:r>
      <w:r>
        <w:rPr>
          <w:b w:val="0"/>
          <w:sz w:val="24"/>
        </w:rPr>
        <w:t xml:space="preserve">27 atletas do sexo masculino responderam ao BRUMS-24 duas vezes ao dia por sete dias (456 observações). Empregaram-se estatística descritiva, Shapiro-Wilk, Wilcoxon com tamanho de efeito, Friedman com W de Kendall, pós-teste (Tukey), ICC, MANOVA em escores T e regressão do pico de velocidade do T-CAR, com limiar por índice de Youden.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deterioração concentrou-se no eixo energia–fadiga — o vigor caiu (d = -0,95) e a fadiga subiu (d = +0,72), confirmado por MANOVA (Wilks λ = 0,283; p = 0,002). O vigor foi máximo no Dia 1 e a fadiga no Dia 7; o perfil iceberg caiu e o de fadiga subiu (χ² = 14,58; p = 0,012). Maior aptidão associou-se a menos fadiga (ρ = -0,54), com limiar de 14,9 km/h.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o humor migrou da prontidão para a fadiga funcional; o vigor e a fadiga foram as dimensões mais sensíveis, e a aptidão intermitente ajudou a explicar a resposta, fundamentando o monitoramento individualizado.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humor; BRUMS; handebol; monitoramento do atleta; fadiga; aptidão intermitente.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Monitoramento do humor no esporte de rendimento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acompanhamento do estado psicológico dos atletas consolidou-se como parte essencial da gestão do treinamento no esporte de rendimento. Instrumentos de autorrelato do humor são práticos, econômicos e sensíveis às variações da carga de treino, com utilidade preditiva para o bem-estar e o desempenho esportivo (SAW; MAIN; GASTIN, 2016; LOCHBAUM et al., 2021), razão pela qual documentos de consenso recomendam seu uso rotineiro para monitorar a fadiga e orientar decisões de treino e recuperação (KELLMANN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Entre esses instrumentos, a Escala de Humor de Brunel (BRUMS), versão abreviada e adaptada do Profile of Mood States (POMS), destaca-se pela rapidez de aplicação e pela solidez psicométrica, com sucessivas validações transculturais, incluindo a versão brasileira (BRAMS) (TERRY; LANE; FOGARTY, 2003; ROHLFS et al., 2008, 2023). Sua aplicação tem-se mostrado particularmente informativa em modalidades esportivas coletivas e no esporte de rendimento, contextos de elevada demanda física, emocional e interpessoal: a BRUMS vem sendo empregada para monitorar o humor de atletas de elite ao longo de períodos competitivos e sua relação com o sono, o desempenho, os resultados de partida e o risco de lesão (ANDRADE et al., 2016; BRANDT; BEVILACQUA; ANDRADE, 2017; ANDRADE et al., 2020; DE MIRANDA ROHLFS et al., 2025; DO NASCIMENTO et al., 2026). Além dos escores isolados, a literatura recente formalizou seis perfis prototípicos de humor — iceberg, Everest invertido, iceberg invertido, submerso, barbatana de tubarão e superfície —, replicados em grandes amostras internacionais e utilizados no rastreamento da prontidão de atletas de elite (MORGAN, 1985; PARSONS-SMITH; TERRY; MACHIN, 2017; HAN; PARSONS-SMITH; TERRY, 2020; TERRY et al., 2021).</w:t>
      </w:r>
    </w:p>
    <w:p>
      <w:pPr>
        <w:spacing w:before="120" w:after="80" w:line="360" w:lineRule="auto"/>
      </w:pPr>
      <w:r>
        <w:rPr>
          <w:b/>
          <w:sz w:val="24"/>
        </w:rPr>
        <w:t>1.2 Handebol: modalidade coletiva intermitente e de alta intensidade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handebol de quadra é uma modalidade coletiva de invasão, de caráter marcadamente intermitente e de alta intensidade. Ao longo da partida, ações máximas e explosivas — sprints curtos, saltos, arremessos, bloqueios, mudanças de direção e contatos físicos — alternam-se, de forma imprevisível, com períodos de recuperação incompleta, exigindo simultaneamente potência anaeróbia, capacidade aeróbia intermitente e elevada tolerância à fadiga (KARCHER; BUCHHEIT, 2014; MICHALSIK; AAGAARD, 2015; WAGNER et al., 2014). Esse padrão de esforço eleva a carga interna nos microciclos de acúmulo e repercute no estado afetivo, sobretudo na última semana de pré-temporada, quando a carga que antecede a competição se concentra. A tolerância a essa carga depende da aptidão aeróbia intermitente, cujo marcador de campo — o pico de velocidade do Teste de Carminatti (T-CAR) — associa-se ao desempenho físico em modalidades intermitentes (FERNANDES-DA-SILVA et al., 2016).</w:t>
      </w:r>
    </w:p>
    <w:p>
      <w:pPr>
        <w:spacing w:before="120" w:after="80" w:line="360" w:lineRule="auto"/>
      </w:pPr>
      <w:r>
        <w:rPr>
          <w:b/>
          <w:sz w:val="24"/>
        </w:rPr>
        <w:t>1.3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Diante da ampla adoção da BRUMS, mas da escassez de descrições detalhadas do comportamento do humor em um microciclo pré-competitivo de handebol de elite, o objetivo geral foi caracterizar e analisar o perfil de humor desses atletas ao longo da última semana de pré-temporada, descrevendo o comportamento de cada dimensão do BRUMS, comparando todos os dias entre si, identificando os dias de maior e menor expressão de cada estado de humor e relacionando a resposta à aptidão aeróbia intermitente. Especificamente, buscou-se: (i) caracterizar a amostra; (ii) verificar a normalidade; (iii) descrever a resposta aguda pré → pós com tamanho de efeito; (iv) comparar as dimensões entre todos os dias; (v) confirmar as diferenças por análise multivariada (escores T); (vi) descrever o comportamento individual de cada variável e suas relações; (vii) identificar os dias de maior fadiga, vigor, tensão, raiva e depressão; (viii) classificar a evolução dos perfis de humor; e (ix) analisar o T-CAR e o limiar de pico de velocidade. Hipotetizou-se que a deterioração se concentraria no eixo energia–fadiga, com migração do perfil iceberg para o de fadiga, e que a aptidão intermitente modularia a resposta.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Delineamento e amostra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Estudo descritivo-comparativo, observacional e de medidas repetidas, conduzido em condições ecológicas de treinamento durante o microciclo pré-competitivo (21 a 27 de abril de 2024), com 27 atletas de handebol do sexo masculino de nível competitivo, conforme os princípios éticos da Declaração de Helsinque e com consentimento informado.</w:t>
      </w:r>
    </w:p>
    <w:p>
      <w:pPr>
        <w:spacing w:before="120" w:after="80" w:line="360" w:lineRule="auto"/>
      </w:pPr>
      <w:r>
        <w:rPr>
          <w:b/>
          <w:sz w:val="24"/>
        </w:rPr>
        <w:t>2.2 Instrumentos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BRUMS-24, com 24 itens em escala de 0 (“nada”) a 4 (“extremamente”), agrupados em seis subescalas de 0 a 16 pontos (tensão, depressão, raiva, vigor, fadiga e confusão); a Perturbação Total do Humor (PTH) resume o perfil (soma das negativas menos o vigor). Para a classificação de perfis e a análise multivariada, os escores foram convertidos em escores T (M = 50; DP = 10). A aptidão aeróbia intermitente foi avaliada pelo Teste de Carminatti (T-CAR), teste de campo progressivo e intermitente (repetições de 12 s de corrida em vaivém intercaladas por 6 s de recuperação, até a exaustão), tendo o pico de velocidade (PV) como desfecho (FERNANDES-DA-SILVA et al., 2016). O T-CAR foi aplicado em 15 de abril de 2024, quatro dias de treino antes do início do microciclo, de modo a servir como parâmetro fisiológico de linha de base das análises.</w:t>
      </w:r>
    </w:p>
    <w:p>
      <w:pPr>
        <w:spacing w:before="120" w:after="80" w:line="360" w:lineRule="auto"/>
      </w:pPr>
      <w:r>
        <w:rPr>
          <w:b/>
          <w:sz w:val="24"/>
        </w:rPr>
        <w:t>2.3 Procedimentos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BRUMS foi autoaplicado por formulário eletrônico com registro de data e hora, duas vezes por dia de treino — a primeira resposta tomada como pré e a última como pós —, ao longo de sete dias, totalizando 456 observações válidas.</w:t>
      </w:r>
    </w:p>
    <w:p>
      <w:pPr>
        <w:spacing w:before="120" w:after="80" w:line="360" w:lineRule="auto"/>
      </w:pPr>
      <w:r>
        <w:rPr>
          <w:b/>
          <w:sz w:val="24"/>
        </w:rPr>
        <w:t>2.4 Análise estatística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análise seguiu uma sequência do descritivo ao inferencial. Inicialmente, empregou-se estatística descritiva (média, desvio-padrão, mediana e amplitude) para caracterizar as variáveis, e o teste de Shapiro-Wilk para verificar a normalidade — etapa que orienta a escolha entre testes paramétricos e não paramétricos. Como as distribuições violaram a normalidade, com forte concentração de escores baixos nas dimensões negativas (efeito de piso), os dados não foram transformados (NEVILL; LANE, 2007) e privilegiaram-se testes não paramétricos.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descrever a resposta aguda ao treino, os momentos pré e pós foram comparados pelo teste de Wilcoxon para amostras pareadas, acompanhado do tamanho de efeito (d de Cohen), que expressa a magnitude da diferença independentemente do tamanho da amostra (trivial &lt; 0,2; pequeno &lt; 0,5; médio &lt; 0,8; grande ≥ 0,8); a mesma lógica aplicou-se à comparação entre o primeiro e o último dia. Para verificar se cada dimensão variou ao longo dos sete dias, utilizou-se o teste de Friedman — equivalente não paramétrico da ANOVA de medidas repetidas —, com o W de Kendall como tamanho de efeito (0,1 pequeno; 0,3 moderado; 0,5 grande); quando significativo, aplicou-se o pós-teste das médias marginais de um modelo misto (correção de Tukey), que identifica entre quais dias, especificamente, houve diferença. A consistência das medidas repetidas ao longo da semana foi estimada pelo coeficiente de correlação intraclasse (ICC), interpretado como pobre (&lt; 0,50), moderado (0,50–0,75), bom (0,75–0,90) ou excelente (&gt; 0,90).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Como confirmação robusta, as comparações Dia 1 → Dia 7 e pré → pós foram reanalisadas por análise multivariada de variância (MANOVA) de medidas repetidas sobre os escores T, que testa as seis dimensões em conjunto e controla o erro de múltiplas comparações (lambda de Wilks, F e eta-quadrado parcial — η²ₚ; 0,01 pequeno; 0,06 médio; 0,14 grande). A associação entre as dimensões foi quantificada pela correlação de Spearman (ρ). Por fim, a relação entre o pico de velocidade do T-CAR e a fadiga foi analisada por regressão, e um limiar de pico de velocidade foi estabelecido pelo índice de Youden — que maximiza a soma de sensibilidade e especificidade —, com a qualidade de discriminação avaliada pela área sob a curva ROC. Adotou-se nível de significância de 5% (p &lt; 0,05), com as análises conduzidas em ambiente Python (bibliotecas pandas, SciPy e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Caracterização da amostra</w:t>
      </w:r>
    </w:p>
    <w:p>
      <w:pPr>
        <w:spacing w:before="160" w:after="40"/>
      </w:pPr>
      <w:r>
        <w:rPr>
          <w:sz w:val="22"/>
        </w:rPr>
        <w:t>Tabela 1 – Distribuição da amostra por posição de jogo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Armador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40,7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Ala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33,3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2 – Caracterização sociodemográfica e antropométrica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(anos)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amostra é descrita nas Tabelas 1 e 2.</w:t>
      </w:r>
    </w:p>
    <w:p>
      <w:pPr>
        <w:spacing w:before="120" w:after="80" w:line="360" w:lineRule="auto"/>
      </w:pPr>
      <w:r>
        <w:rPr>
          <w:b/>
          <w:sz w:val="24"/>
        </w:rPr>
        <w:t>3.2 Normalidade das distribuições</w:t>
      </w:r>
    </w:p>
    <w:p>
      <w:pPr>
        <w:spacing w:before="160" w:after="40"/>
      </w:pPr>
      <w:r>
        <w:rPr>
          <w:sz w:val="22"/>
        </w:rPr>
        <w:t>Tabela 3 – Teste de normalidade (Shapiro-Wilk) das dimensões do BRUMS.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Estatística (W)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0,766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0,440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seis dimensões não seguem distribuição normal (p &lt; 0,001; Tabela 3), justificando os testes não paramétricos.</w:t>
      </w:r>
    </w:p>
    <w:p>
      <w:pPr>
        <w:spacing w:before="120" w:after="80" w:line="360" w:lineRule="auto"/>
      </w:pPr>
      <w:r>
        <w:rPr>
          <w:b/>
          <w:sz w:val="24"/>
        </w:rPr>
        <w:t>3.3 Estatística descritiva das dimensões</w:t>
      </w:r>
    </w:p>
    <w:p>
      <w:pPr>
        <w:spacing w:before="160" w:after="40"/>
      </w:pPr>
      <w:r>
        <w:rPr>
          <w:sz w:val="22"/>
        </w:rPr>
        <w:t>Tabela 4 – Estatística descritiva das dimensões do BRUMS e da PTH (456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3,12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9,64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-12–52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2,73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0–9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descritiva geral consta na Tabela 4: o vigor e a fadiga concentram as maiores médias e variabilidade.</w:t>
      </w:r>
    </w:p>
    <w:p>
      <w:pPr>
        <w:spacing w:before="120" w:after="80" w:line="360" w:lineRule="auto"/>
      </w:pPr>
      <w:r>
        <w:rPr>
          <w:b/>
          <w:sz w:val="24"/>
        </w:rPr>
        <w:t>3.4 Diferenças entre pré e pós-treino (com tamanho de efeito)</w:t>
      </w:r>
    </w:p>
    <w:p>
      <w:pPr>
        <w:spacing w:before="160" w:after="40"/>
      </w:pPr>
      <w:r>
        <w:rPr>
          <w:sz w:val="22"/>
        </w:rPr>
        <w:t>Tabela 5 – Diferenças entre pré e pós-treino (agregado da semana; Wilcoxon e d de Cohen).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Pré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Pós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Variação (%)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 de Cohen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Magnitude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-19%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4,50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+34%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5,95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+131%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+11%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0,420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+37%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0,085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+0,39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+15%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0,558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-8%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0,586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aguda foi consistente (Tabela 5): o vigor caiu (19%; d = -0,74) e a fadiga e a PTH subiram do pré para o pós, com efeito médio.</w:t>
      </w:r>
    </w:p>
    <w:p>
      <w:pPr>
        <w:spacing w:before="120" w:after="80" w:line="360" w:lineRule="auto"/>
      </w:pPr>
      <w:r>
        <w:rPr>
          <w:b/>
          <w:sz w:val="24"/>
        </w:rPr>
        <w:t>3.5 Comportamento diário e comparação entre todos os dias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tra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Comportamento das dimensões do humor ao longo da semana (médias diárias; áreas sombreadas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28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Diagramas de caixa (box plot) das seis dimensões do BRUMS por dia da semana.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6 – Médias diárias das dimensões do BRUMS e teste de Friedman com W de Kendall (variação entre os sete dias).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χ²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W de Kendall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0,13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0,040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0,12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0,269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0,07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0,12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0,936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0,02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12,3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0,056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0,11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25,8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0,23</w:t>
            </w:r>
          </w:p>
        </w:tc>
      </w:tr>
    </w:tbl>
    <w:p>
      <w:pPr>
        <w:spacing w:after="0"/>
      </w:pPr>
      <w:r>
        <w:rPr>
          <w:i/>
          <w:sz w:val="17"/>
        </w:rPr>
        <w:t>W de Kendall = tamanho de efeito do teste de Friedman (0,1 pequeno; 0,3 moderado; 0,5 grande).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médias diárias, o teste de Friedman e o W de Kendall constam na Tabela 6 (Figuras 1 e 2): houve diferença significativa entre os dias para o vigor (p = 0,022; W = 0,13), a fadiga (p = 0,040; W = 0,12), a tensão (p = 0,039) e a confusão (p = &lt; 0,001), sempre com magnitude pequena a moderada, coerente com um microciclo de acúmulo dentro da faixa funcional.</w:t>
      </w:r>
    </w:p>
    <w:p>
      <w:pPr>
        <w:spacing w:before="160" w:after="40"/>
      </w:pPr>
      <w:r>
        <w:rPr>
          <w:sz w:val="22"/>
        </w:rPr>
        <w:t>Tabela 7 – Consistência das medidas repetidas ao longo da semana (coeficiente de correlação intraclasse, ICC).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boa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consistência das medidas repetidas (Tabela 7) foi moderada a boa, sendo mais baixa para a raiva e a confusão — dimensões mais reativas dia a dia.</w:t>
      </w:r>
    </w:p>
    <w:p>
      <w:pPr>
        <w:spacing w:before="160" w:after="40"/>
      </w:pPr>
      <w:r>
        <w:rPr>
          <w:sz w:val="22"/>
        </w:rPr>
        <w:t>Tabela 8 – Pós-teste (médias marginais do modelo misto) por dia, com comparação de cada dia ao Dia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física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7,45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5,26*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6,01*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5,13*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5,88*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5,56*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5,82*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5,51*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6,13*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7,14*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7,60*</w:t>
            </w:r>
          </w:p>
        </w:tc>
      </w:tr>
    </w:tbl>
    <w:p>
      <w:pPr>
        <w:spacing w:after="0"/>
      </w:pPr>
      <w:r>
        <w:rPr>
          <w:i/>
          <w:sz w:val="17"/>
        </w:rPr>
        <w:t>* diferença significativa em relação ao Dia 1 (Tukey, p &lt; 0,05).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Trajetória diária (médias marginais) com comparação de todos os dias ao Dia 1 (* p &lt; 0,05).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Comparando todos os dias entre si (pós-teste de Tukey; Tabela 8; Figura 3), o vigor diferiu significativamente em 7 dos 21 pares de dias e a fadiga em 8 — sempre no sentido de piora em relação aos primeiros dias —, confirmando a deterioração progressiva do eixo energia–fadiga.</w:t>
      </w:r>
    </w:p>
    <w:p>
      <w:pPr>
        <w:spacing w:before="120" w:after="80" w:line="360" w:lineRule="auto"/>
      </w:pPr>
      <w:r>
        <w:rPr>
          <w:b/>
          <w:sz w:val="24"/>
        </w:rPr>
        <w:t>3.6 Confirmação por análise multivariada (MANOVA em escores T)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0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Perfil de humor em escores T (M = 50; DP = 10)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9 – Comparação Dia 1 → Dia 7 das seis dimensões em escores T (MANOVA de medidas repetidas; 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7,28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0,014*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0,267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0,640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0,920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0,001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56,2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19,15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0,489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46,4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10,98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0,354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4,38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0,049*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0,179</w:t>
            </w:r>
          </w:p>
        </w:tc>
      </w:tr>
    </w:tbl>
    <w:p>
      <w:pPr>
        <w:spacing w:after="0"/>
      </w:pPr>
      <w:r>
        <w:rPr>
          <w:i/>
          <w:sz w:val="17"/>
        </w:rPr>
        <w:t>Wilks λ = 0,283; F(6,15) = 6,32; p = 0,002; η²ₚ = 0,72. * p &lt; 0,05.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análise multivariada confirmou a diferença entre o Dia 1 e o Dia 7 (Wilks λ = 0,283; F(6,15) = 6,32; p = 0,002; η²ₚ = 0,72), com efeito concentrado no vigor (d = -0,95) e na fadiga (d = +0,72) (Tabela 9; Figura 4). A resposta aguda pré → pós também foi multivariadamente significativa (Wilks λ = 0,423; p = 0,003), reforçando o achado do eixo energia–fadiga.</w:t>
      </w:r>
    </w:p>
    <w:p>
      <w:pPr>
        <w:spacing w:before="120" w:after="80" w:line="360" w:lineRule="auto"/>
      </w:pPr>
      <w:r>
        <w:rPr>
          <w:b/>
          <w:sz w:val="24"/>
        </w:rPr>
        <w:t>3.7 Dias de maior expressão de cada estado de humor</w:t>
      </w:r>
    </w:p>
    <w:p>
      <w:pPr>
        <w:spacing w:before="160" w:after="40"/>
      </w:pPr>
      <w:r>
        <w:rPr>
          <w:sz w:val="22"/>
        </w:rPr>
        <w:t>Tabela 10 – Dia de maior e de menor expressão de cada dimensão do humor (médias diárias).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maior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menor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4,70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7,48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3,74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8,00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1,76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1,79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1,18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0,15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Tabela 10 sintetiza os dias de pico: o vigor foi máximo no Dia 1 e mínimo no Dia 7; a fadiga foi máxima no Dia 7; a tensão, máxima no Dia 1; a raiva, máxima no Dia 7; e a depressão, máxima no Dia 4. Em síntese, o início da semana reúne maior prontidão (vigor, tensão e confusão mais altos) e o final concentra a fadiga e a raiva.</w:t>
      </w:r>
    </w:p>
    <w:p>
      <w:pPr>
        <w:spacing w:before="120" w:after="80" w:line="360" w:lineRule="auto"/>
      </w:pPr>
      <w:r>
        <w:rPr>
          <w:b/>
          <w:sz w:val="24"/>
        </w:rPr>
        <w:t>3.8 Comportamento individual de cada variável e suas relações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Figuras 5 a 10 apresentam, para cada dimensão, o comportamento ao longo da semana com a média diária, a banda de confiança de 95% (área sombreada), os diagramas de caixa por dia e o efeito do microciclo, permitindo visualizar individualmente como cada estado de humor evolui.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Vigor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Fadiga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7 – Tensão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8 – Depressão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9 – Raiva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10 – Confusão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11 – Correlação de Spearman entre as dimensões do BRUMS com associação significativa (n = 27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 de dimensões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0,006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Quanto às relações entre as dimensões (Tabela 11), as dimensões negativas associam-se entre si e a fadiga relaciona-se com a depressão e a raiva; o vigor mantém-se relativamente independente. Esse acoplamento depende da carga: no dia de maior vigor a depressão é independente da fadiga (ρ = +0,20), mas no dia de maior fadiga torna-se forte (ρ = +0,75).</w:t>
      </w:r>
    </w:p>
    <w:p>
      <w:pPr>
        <w:spacing w:before="120" w:after="80" w:line="360" w:lineRule="auto"/>
      </w:pPr>
      <w:r>
        <w:rPr>
          <w:b/>
          <w:sz w:val="24"/>
        </w:rPr>
        <w:t>3.9 Classificação dos perfis de humor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35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e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3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11 – Distribuição (%) dos seis perfis de humor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12 – Distribuição dos perfis de humor no primeiro e no último dia da semana: n (%).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1 n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 n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 (40,5)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(17,4)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(14,3)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(8,7)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(9,5)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(6,5)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 (7,1)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(10,9)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(2,4)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 (26,2)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(28,3)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perfil migrou do iceberg (40% no Dia 1) para a barbatana de tubarão (28% no Dia 7), com o iceberg caindo para 17% (Figura 11; Tabela 12).</w:t>
      </w:r>
    </w:p>
    <w:p>
      <w:pPr>
        <w:spacing w:before="120" w:after="80" w:line="360" w:lineRule="auto"/>
      </w:pPr>
      <w:r>
        <w:rPr>
          <w:b/>
          <w:sz w:val="24"/>
        </w:rPr>
        <w:t>3.10 Aptidão intermitente (T-CAR) e limiar de pico de velocidade</w:t>
      </w:r>
    </w:p>
    <w:p>
      <w:pPr>
        <w:spacing w:before="160" w:after="40"/>
      </w:pPr>
      <w:r>
        <w:rPr>
          <w:sz w:val="22"/>
        </w:rPr>
        <w:t>Tabela 13 – Estatística descritiva do desempenho no Teste de Carminatti (T-CAR).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Pico de velocidade — T-CAR (km/h)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13,2–17,5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percorrida (m)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3329,3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758,9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2070,0–5360,7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Repetições completadas (n)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45,0–86,0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máxima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198,5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190,0–209,0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de pico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174,0–191,3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média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178,7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168,9–186,8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Recuperação da FC em 1 min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27,2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19,7–37,3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Impulso de treino – TRIMP (u.a.)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111,8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100,2–121,8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Percepção subjetiva de esforço (0–10)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5,1–8,4</w:t>
            </w:r>
          </w:p>
        </w:tc>
      </w:tr>
    </w:tbl>
    <w:p>
      <w:pPr>
        <w:spacing w:after="0"/>
      </w:pPr>
      <w:r>
        <w:rPr>
          <w:i/>
          <w:sz w:val="17"/>
        </w:rPr>
        <w:t>PV = pico de velocidade; FC = frequência cardíaca; TRIMP = training impulse.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61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7_scat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12 – Dispersão e reta de regressão (com banda de IC95%) entre o pico de velocidade do T-CAR e as médias semanais de vigor, fadiga, PTH e fadiga física.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desempenho no T-CAR consta na Tabela 13. A regressão mostrou que atletas com maior pico de velocidade reportaram menos fadiga física (ρ = -0,54; p = 0,005) e mais vigor (ρ = +0,48; p = 0,015) ao longo da semana (Figura 12). A partir de um modelo que estima a probabilidade de um dia de fadiga elevada em função do pico de velocidade, identificou-se um limiar de aproximadamente 14,9 km/h (área sob a curva = 0,69; sensibilidade = 0,79; especificidade = 0,60): abaixo desse valor, os atletas apresentaram maior probabilidade de dias de fadiga elevada, o que fornece uma referência objetiva para individualizar a carga.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do humor concentrou-se no eixo energia–fadiga, confirmada tanto pela comparação entre todos os dias (pós-teste) quanto pela análise multivariada em escores T: o vigor caiu com efeito grande e a fadiga subiu com efeito médio, enquanto as dimensões negativas de valência não fadiga permaneceram estáveis. Os dias de pico esclarecem a dinâmica — maior prontidão no início (vigor máximo no Dia 1) e maior fadiga e raiva no final (Dia 7) —, padrão coerente com o acúmulo de carga da pré-temporada e com a literatura de monitoramento (SAW; MAIN; GASTIN, 2016; 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caráter do handebol ajuda a contextualizar a magnitude dessa resposta. Trata-se de uma modalidade coletiva de invasão, marcadamente intermitente, na qual ações de alta intensidade — sprints, saltos, arremessos, bloqueios, mudanças de direção e contatos — alternam-se com períodos de recuperação incompleta, exigindo simultaneamente potência anaeróbia e capacidade aeróbia intermitente para sustentar o esforço repetido e retardar a instalação da fadiga (KARCHER; BUCHHEIT, 2014; MICHALSIK; AAGAARD, 2015). Evidências atuais confirmam que o treino e o jogo de handebol constituem exercício de alta intensidade, com elevadas demandas aeróbias e anaeróbias (PEREIRA et al., 2024), e que os esportes de invasão se caracterizam por atividade intermitente de alta intensidade intercalada por recuperação de menor intensidade (VACCARO-BENET et al., 2024). Nesse contexto, o acúmulo de carga da última semana de pré-temporada explica tanto a deterioração do eixo energia–fadiga quanto a migração do perfil de humor observadas, reforçando por que o vigor e a fadiga foram as dimensões mais sensíveis do painel.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achados também reforçam o valor da BRUMS como ferramenta de monitoramento no esporte coletivo de rendimento. Em modalidades de equipe, o humor responde de forma sensível a fatores como carga, sono e resultados competitivos: em atletas brasileiros de elite, a BRUMS já discriminou respostas ligadas ao sono e ao desempenho (ANDRADE et al., 2016; BRANDT; BEVILACQUA; ANDRADE, 2017) e, mais recentemente, respostas psicológicas agudas a resultados de partida em atletas jovens de modalidades coletivas (DO NASCIMENTO et al., 2026), além de associar-se à ocorrência de lesão em coortes de alto rendimento (DE MIRANDA ROHLFS et al., 2025). A rapidez de aplicação e a leitura por perfis tornam a BRUMS especialmente adequada ao acompanhamento longitudinal de equipes, permitindo à comissão técnica identificar precocemente os atletas em deterioração e individualizar as estratégias de recuperação.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migração do perfil iceberg para o de fadiga reproduz o “derretimento do iceberg” descrito na literatura (MORGAN, 1985; HAN; PARSONS-SMITH; TERRY, 2020), e a relação entre a aptidão aeróbia intermitente e a fadiga — sintetizada no limiar de pico de velocidade — reforça a utilidade de integrar um parâmetro fisiológico simples ao monitoramento do humor, individualizando a interpretação da resposta à carga (FERNANDES-DA-SILVA et al., 2016). Como limitações, destacam-se o tamanho amostral e o desenho observacional de fase única, que não permite inferência causal.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humor dos handebolistas migrou da prontidão para a fadiga, com o vigor em queda e a fadiga em ascensão, do início ao fim da semana e dentro de cada treino, confirmado por comparações entre todos os dias e por análise multivariada. Os dias críticos foram identificados — maior vigor no início e maior fadiga no final —, e a aptidão intermitente mostrou-se associada à fadiga, com um limiar de pico de velocidade útil para individualizar a carga. Recomenda-se o acompanhamento contínuo do humor, com atenção especial ao eixo energia–fadiga.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ANDRADE, A. et al. Sleep quality, mood and performance: a study of elite Brazilian volleyball athletes. Journal of Sports Science and Medicine, v. 15, n. 4, p. 601–605, 2016.</w:t>
      </w:r>
    </w:p>
    <w:p>
      <w:pPr>
        <w:spacing w:line="360" w:lineRule="auto" w:after="120"/>
        <w:jc w:val="both"/>
      </w:pPr>
      <w:r>
        <w:rPr>
          <w:sz w:val="22"/>
        </w:rPr>
        <w:t>ANDRADE, A. et al. Effect of practice exergames on the mood states and self-esteem of elementary school boys and girls during physical education classes: a cluster-randomized controlled trial. PLoS ONE, v. 15, n. 6, e0232392, 2020. DOI: 10.1371/journal.pone.0232392.</w:t>
      </w:r>
    </w:p>
    <w:p>
      <w:pPr>
        <w:spacing w:line="360" w:lineRule="auto" w:after="120"/>
        <w:jc w:val="both"/>
      </w:pPr>
      <w:r>
        <w:rPr>
          <w:sz w:val="22"/>
        </w:rPr>
        <w:t>BRANDT, R.; BEVILACQUA, G. G.; ANDRADE, A. Perceived sleep quality, mood states, and their relationship with performance among Brazilian elite athletes during a competitive period. Journal of Strength and Conditioning Research, v. 31, n. 4, p. 1033–1039, 2017.</w:t>
      </w:r>
    </w:p>
    <w:p>
      <w:pPr>
        <w:spacing w:line="360" w:lineRule="auto" w:after="120"/>
        <w:jc w:val="both"/>
      </w:pPr>
      <w:r>
        <w:rPr>
          <w:sz w:val="22"/>
        </w:rPr>
        <w:t>DE MIRANDA ROHLFS, I. C. P. et al. Mood states, injury status, and countermovement jump performance in Brazilian high-level sports. Sports, v. 13, n. 9, 303, 2025. DOI: 10.3390/sports13090303.</w:t>
      </w:r>
    </w:p>
    <w:p>
      <w:pPr>
        <w:spacing w:line="360" w:lineRule="auto" w:after="120"/>
        <w:jc w:val="both"/>
      </w:pPr>
      <w:r>
        <w:rPr>
          <w:sz w:val="22"/>
        </w:rPr>
        <w:t>DO NASCIMENTO, M. H. et al. Acute psychological responses to official match outcomes in male youth volleyball: an observational repeated-measures study within a single national-level team. Frontiers in Psychology, v. 17, 1826372, 2026. DOI: 10.3389/fpsyg.2026.1826372.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 DOI: 10.1080/02640414.2015.1093646.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MICHALSIK, L. B.; AAGAARD, P. Physical demands in elite team handball: comparisons between male and female players. Journal of Sports Medicine and Physical Fitness, v. 55, n. 9, p. 878–891, 2015.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 DOI: 10.1080/02640410601111183.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sz w:val="22"/>
        </w:rPr>
        <w:t>PEREIRA, R. et al. Exercise intensity and reliability during recreational team handball training for 50–77-year-old unexperienced women. Biology of Sport, v. 41, n. 4, p. 253–261, 2024. DOI: 10.5114/biolsport.2024.132995.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(Brums): instrumento para detecção precoce da síndrome do excesso de treinamento.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Psychometric characteristics of the Brazil Mood Scale among youth and elite athletes using two response time frames. Sports, v. 11, n. 12, 244, 2023. DOI: 10.3390/sports11120244.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 DOI: 10.1016/S1469-0292(02)00035-8.</w:t>
      </w:r>
    </w:p>
    <w:p>
      <w:pPr>
        <w:spacing w:line="360" w:lineRule="auto" w:after="120"/>
        <w:jc w:val="both"/>
      </w:pPr>
      <w:r>
        <w:rPr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sz w:val="22"/>
        </w:rPr>
        <w:t>VACCARO-BENET, P. et al. Internal and external load profile during beach invasion sports match-play by electronic performance and tracking systems: a systematic review. Sensors, v. 24, n. 12, 3738, 2024. DOI: 10.3390/s24123738.</w:t>
      </w:r>
    </w:p>
    <w:p>
      <w:pPr>
        <w:spacing w:line="360" w:lineRule="auto" w:after="120"/>
        <w:jc w:val="both"/>
      </w:pPr>
      <w:r>
        <w:rPr>
          <w:sz w:val="22"/>
        </w:rPr>
        <w:t>WAGNER, H. et al. Individual and team performance in team-handball: a review. Journal of Sports Science and Medicine, v. 13, n. 4, p. 808–816, 2014.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