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 a comparação de cada dimensão do BRUMS entre todos os dias e a identificação dos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com um total de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o que indica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o que fundamenta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Apesar da ampla adoção da BRUMS, escasseiam descrições detalhadas do comportamento do humor ao longo de um microciclo pré-competitivo de handebol de elite — precisamente a fase de acumulação em que se instala o sobre-esforço funcional e na qual a triagem do estado psicofisiológico se torna mais decisiva. Diante dessa lacuna, o objetivo geral consistiu em caracterizar e analisar o perfil de humor desses atletas na última semana de pré-temporada, com atenção ao comportamento de cada dimensão do BRUMS, à comparação entre todos os dias, à identificação dos dias de maior e menor expressão de cada estado e à relação da resposta com a aptidão aeróbia intermitente. De modo específico, o estudo propôs-se a: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cruzamento energia–fadiga —, com separação entre o sinal sistemático e 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A migração de perfil ao longo da semana foi testada como tendência por regressão logística da probabilidade de cada perfil (iceberg e barbatana de tubarão) em função do dia do microciclo, e modelou-se também a probabilidade de um dia de baixo vigor (tercil inferior) e a de exibir o perfil iceberg em função do pico de velocidade; os intervalos de confiança das razões de chances e das áreas sob a curva foram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dinâmica temporal foi ainda modelada por meio do ajuste de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com a quantificação da razão sinal-ruído (SNR) e uma visualização suavizada das curvas.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o que permite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em recuo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13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13).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14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14.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15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15; Figura 14).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16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Dois limiares do pico de velocidade do T-CAR (14,4 e 15,1 km/h) definindo três faixas de aptidão (esquerda) e a prevalência 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16; Figura 15).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17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17; Figura 16).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18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18)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19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19; Figura 17).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o que indica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20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20)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18). No primeiro dia, o vigor supera a fadiga por ampla margem (4,9 pontos); essa vantagem colapsa já no Dia 2, e as duas dimensões passam a se cruzar repetidamente na região central da semana — os pontos de interseção das funções ocorrem nos dias 2, 4, 6 — reflexo de um período em que energia e fadiga permanecem estatisticamente entrelaçadas. A partir do último cruzamento (Dia 6), a fadiga assume e se distancia do vigor, e encerra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21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Trajetórias diárias suavizadas: sinal (curva) sobreposto às médias diárias observadas (pontos), separando a tendência do 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21; Figura 19).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Trajetórias individuais de vigor e fadiga por atleta (linhas finas) e a média do grupo (linha grossa), evidenciando a 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ajustando-se a cada participante a sua própria trajetória ao longo da semana (Figura 20).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o que reforça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 do grupo em 13 pontos temporais (baseline + pré e pós-treino de cada dia), revelando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Aproveitando as duas coletas diárias dos dias de treino, a trajetória do grupo foi reconstruída em alta resolução, com 13 pontos temporais — a linha de base e os momentos pré e pós de cada um dos seis dias de treino (Figura 21).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22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22).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 e oferece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transitou da prontidão para a fadiga: o vigor recuou e a fadiga avançou, do primeiro ao último dia e no interior de cada sessão, com confirmação pelas comparações entre todos os dias e pela análise multivariada. A modelagem das trajetórias situou o cruzamento entre vigor e fadiga na metade da semana e restringiu o sinal robusto ao eixo energia–fadiga, ao passo que as demais dimensões, próximas do piso, pouco informaram. O conjunto — deterioração limitada ao eixo energético, sem instalação dos perfis de risco à saúde mental e sem aumento do estresse psicossocial — corresponde a um sobre-esforço funcional, ou seja, a uma fadiga esperada e reversível, própria de uma fase de acumulação. A aptidão aeróbia intermitente atenuou essa resposta: os atletas mais aptos exibiram mais vigor e menos fadiga, e dois limiares de pico de velocidade delimitaram faixas de risco úteis à individualização da carga. Recomenda-se, portanto, o acompanhamento contínuo do humor na pré-temporada, com atenção primordial ao eixo energia–fadiga e à sua restauração na transição para o afinamento.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