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configurando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o cruzamento energia–fadiga —, separando o sinal sistemático do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16). No primeiro dia, o vigor supera a fadiga por ampla margem (4,9 pontos); essa vantagem colapsa já no Dia 2, e as duas dimensões passam a se cruzar repetidamente na região central da semana — os pontos de interseção das funções ocorrem nos dias 2, 4, 6 — refletindo um período em que energia e fadiga ficam estatisticamente entrelaçadas. A partir do último cruzamento (Dia 6),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17).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18).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19).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19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19).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4), fornecendo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