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F4E79"/>
        </w:rPr>
        <w:t xml:space="preserve">Atualização da revisão de mapeamento — relatório completo</w:t>
      </w:r>
    </w:p>
    <w:p>
      <w:pPr>
        <w:spacing w:after="60"/>
      </w:pPr>
      <w:r>
        <w:rPr>
          <w:i/>
          <w:iCs/>
          <w:color w:val="595959"/>
          <w:sz w:val="18"/>
          <w:szCs w:val="18"/>
        </w:rPr>
        <w:t xml:space="preserve">Andrade, A. et al. (2023). Effects of Air Pollution on the Health of Older Adults during Physical Activities: Mapping Review. Int. J. Environ. Res. Public Health, 20, 3506. Busca original concluída em 12/06/2022.</w:t>
      </w:r>
    </w:p>
    <w:p>
      <w:pPr>
        <w:spacing w:after="300"/>
      </w:pPr>
      <w:r>
        <w:rPr>
          <w:i/>
          <w:iCs/>
          <w:color w:val="595959"/>
          <w:sz w:val="18"/>
          <w:szCs w:val="18"/>
        </w:rPr>
        <w:t xml:space="preserve">Referência: </w:t>
      </w:r>
      <w:hyperlink w:history="1" r:id="rId99uzghtu7b_mm_qmndpsb">
        <w:r>
          <w:rPr>
            <w:rStyle w:val="Hyperlink"/>
            <w:sz w:val="14"/>
            <w:szCs w:val="14"/>
          </w:rPr>
          <w:t xml:space="preserve">https://doi.org/10.3390/ijerph20043506</w:t>
        </w:r>
      </w:hyperlink>
    </w:p>
    <w:p>
      <w:pPr>
        <w:pStyle w:val="Heading1"/>
        <w:spacing w:after="120" w:before="100"/>
      </w:pPr>
      <w:r>
        <w:rPr>
          <w:b/>
          <w:bCs/>
          <w:color w:val="1F4E79"/>
          <w:sz w:val="26"/>
          <w:szCs w:val="26"/>
        </w:rPr>
        <w:t xml:space="preserve">1. Análise comparativa — artigo original × atualização</w:t>
      </w:r>
    </w:p>
    <w:tbl>
      <w:tblPr>
        <w:tblW w:type="dxa" w:w="15598"/>
        <w:tblBorders>
          <w:top w:val="single" w:color="AAAAAA" w:sz="4"/>
          <w:left w:val="single" w:color="AAAAAA" w:sz="4"/>
          <w:bottom w:val="single" w:color="AAAAAA" w:sz="4"/>
          <w:right w:val="single" w:color="AAAAAA" w:sz="4"/>
          <w:insideH w:val="single" w:color="CCCCCC" w:sz="2"/>
          <w:insideV w:val="single" w:color="CCCCCC" w:sz="2"/>
        </w:tblBorders>
      </w:tblPr>
      <w:tblGrid>
        <w:gridCol w:w="3800"/>
        <w:gridCol w:w="5899"/>
        <w:gridCol w:w="5899"/>
      </w:tblGrid>
      <w:tr>
        <w:trPr>
          <w:tblHeader/>
        </w:trPr>
        <w:tc>
          <w:tcPr>
            <w:tcW w:type="dxa" w:w="3800"/>
            <w:shd w:fill="1F4E79" w:val="clear"/>
            <w:tcMar>
              <w:top w:type="dxa" w:w="60"/>
              <w:left w:type="dxa" w:w="60"/>
              <w:bottom w:type="dxa" w:w="60"/>
              <w:right w:type="dxa" w:w="60"/>
            </w:tcMar>
            <w:vAlign w:val="center"/>
          </w:tcPr>
          <w:p>
            <w:r>
              <w:rPr>
                <w:b/>
                <w:bCs/>
                <w:color w:val="FFFFFF"/>
                <w:sz w:val="14"/>
                <w:szCs w:val="14"/>
              </w:rPr>
              <w:t xml:space="preserve">Indicador</w:t>
            </w:r>
          </w:p>
        </w:tc>
        <w:tc>
          <w:tcPr>
            <w:tcW w:type="dxa" w:w="5899"/>
            <w:shd w:fill="1F4E79" w:val="clear"/>
            <w:tcMar>
              <w:top w:type="dxa" w:w="60"/>
              <w:left w:type="dxa" w:w="60"/>
              <w:bottom w:type="dxa" w:w="60"/>
              <w:right w:type="dxa" w:w="60"/>
            </w:tcMar>
            <w:vAlign w:val="center"/>
          </w:tcPr>
          <w:p>
            <w:r>
              <w:rPr>
                <w:b/>
                <w:bCs/>
                <w:color w:val="FFFFFF"/>
                <w:sz w:val="14"/>
                <w:szCs w:val="14"/>
              </w:rPr>
              <w:t xml:space="preserve">Artigo original (2023)</w:t>
            </w:r>
          </w:p>
        </w:tc>
        <w:tc>
          <w:tcPr>
            <w:tcW w:type="dxa" w:w="5899"/>
            <w:shd w:fill="1F4E79" w:val="clear"/>
            <w:tcMar>
              <w:top w:type="dxa" w:w="60"/>
              <w:left w:type="dxa" w:w="60"/>
              <w:bottom w:type="dxa" w:w="60"/>
              <w:right w:type="dxa" w:w="60"/>
            </w:tcMar>
            <w:vAlign w:val="center"/>
          </w:tcPr>
          <w:p>
            <w:r>
              <w:rPr>
                <w:b/>
                <w:bCs/>
                <w:color w:val="FFFFFF"/>
                <w:sz w:val="14"/>
                <w:szCs w:val="14"/>
              </w:rPr>
              <w:t xml:space="preserve">Atualização — 58 confirmados</w:t>
            </w:r>
          </w:p>
        </w:tc>
      </w:tr>
      <w:tr>
        <w:tc>
          <w:tcPr>
            <w:tcW w:type="dxa" w:w="3800"/>
            <w:tcMar>
              <w:top w:type="dxa" w:w="50"/>
              <w:left w:type="dxa" w:w="60"/>
              <w:bottom w:type="dxa" w:w="50"/>
              <w:right w:type="dxa" w:w="60"/>
            </w:tcMar>
            <w:vAlign w:val="center"/>
          </w:tcPr>
          <w:p>
            <w:r>
              <w:rPr>
                <w:b w:val="false"/>
                <w:bCs w:val="false"/>
                <w:color w:val="222222"/>
                <w:sz w:val="14"/>
                <w:szCs w:val="14"/>
              </w:rPr>
              <w:t xml:space="preserve">Nº de estudos</w:t>
            </w:r>
          </w:p>
        </w:tc>
        <w:tc>
          <w:tcPr>
            <w:tcW w:type="dxa" w:w="5899"/>
            <w:tcMar>
              <w:top w:type="dxa" w:w="50"/>
              <w:left w:type="dxa" w:w="60"/>
              <w:bottom w:type="dxa" w:w="50"/>
              <w:right w:type="dxa" w:w="60"/>
            </w:tcMar>
            <w:vAlign w:val="center"/>
          </w:tcPr>
          <w:p>
            <w:r>
              <w:rPr>
                <w:b w:val="false"/>
                <w:bCs w:val="false"/>
                <w:color w:val="222222"/>
                <w:sz w:val="14"/>
                <w:szCs w:val="14"/>
              </w:rPr>
              <w:t xml:space="preserve">58</w:t>
            </w:r>
          </w:p>
        </w:tc>
        <w:tc>
          <w:tcPr>
            <w:tcW w:type="dxa" w:w="5899"/>
            <w:tcMar>
              <w:top w:type="dxa" w:w="50"/>
              <w:left w:type="dxa" w:w="60"/>
              <w:bottom w:type="dxa" w:w="50"/>
              <w:right w:type="dxa" w:w="60"/>
            </w:tcMar>
            <w:vAlign w:val="center"/>
          </w:tcPr>
          <w:p>
            <w:r>
              <w:rPr>
                <w:b w:val="false"/>
                <w:bCs w:val="false"/>
                <w:color w:val="222222"/>
                <w:sz w:val="14"/>
                <w:szCs w:val="14"/>
              </w:rPr>
              <w:t xml:space="preserve">58</w:t>
            </w:r>
          </w:p>
        </w:tc>
      </w:tr>
      <w:tr>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Período coberto</w:t>
            </w:r>
          </w:p>
        </w:tc>
        <w:tc>
          <w:tcPr>
            <w:tcW w:type="dxa" w:w="5899"/>
            <w:shd w:fill="EAF1F8" w:val="clear"/>
            <w:tcMar>
              <w:top w:type="dxa" w:w="50"/>
              <w:left w:type="dxa" w:w="60"/>
              <w:bottom w:type="dxa" w:w="50"/>
              <w:right w:type="dxa" w:w="60"/>
            </w:tcMar>
            <w:vAlign w:val="center"/>
          </w:tcPr>
          <w:p>
            <w:r>
              <w:rPr>
                <w:b w:val="false"/>
                <w:bCs w:val="false"/>
                <w:color w:val="222222"/>
                <w:sz w:val="14"/>
                <w:szCs w:val="14"/>
              </w:rPr>
              <w:t xml:space="preserve">1987–2022</w:t>
            </w:r>
          </w:p>
        </w:tc>
        <w:tc>
          <w:tcPr>
            <w:tcW w:type="dxa" w:w="5899"/>
            <w:shd w:fill="EAF1F8" w:val="clear"/>
            <w:tcMar>
              <w:top w:type="dxa" w:w="50"/>
              <w:left w:type="dxa" w:w="60"/>
              <w:bottom w:type="dxa" w:w="50"/>
              <w:right w:type="dxa" w:w="60"/>
            </w:tcMar>
            <w:vAlign w:val="center"/>
          </w:tcPr>
          <w:p>
            <w:r>
              <w:rPr>
                <w:b w:val="false"/>
                <w:bCs w:val="false"/>
                <w:color w:val="222222"/>
                <w:sz w:val="14"/>
                <w:szCs w:val="14"/>
              </w:rPr>
              <w:t xml:space="preserve">2020–2026</w:t>
            </w:r>
          </w:p>
        </w:tc>
      </w:tr>
      <w:tr>
        <w:tc>
          <w:tcPr>
            <w:tcW w:type="dxa" w:w="3800"/>
            <w:tcMar>
              <w:top w:type="dxa" w:w="50"/>
              <w:left w:type="dxa" w:w="60"/>
              <w:bottom w:type="dxa" w:w="50"/>
              <w:right w:type="dxa" w:w="60"/>
            </w:tcMar>
            <w:vAlign w:val="center"/>
          </w:tcPr>
          <w:p>
            <w:r>
              <w:rPr>
                <w:b w:val="false"/>
                <w:bCs w:val="false"/>
                <w:color w:val="222222"/>
                <w:sz w:val="14"/>
                <w:szCs w:val="14"/>
              </w:rPr>
              <w:t xml:space="preserve">Risco encontrado</w:t>
            </w:r>
          </w:p>
        </w:tc>
        <w:tc>
          <w:tcPr>
            <w:tcW w:type="dxa" w:w="5899"/>
            <w:tcMar>
              <w:top w:type="dxa" w:w="50"/>
              <w:left w:type="dxa" w:w="60"/>
              <w:bottom w:type="dxa" w:w="50"/>
              <w:right w:type="dxa" w:w="60"/>
            </w:tcMar>
            <w:vAlign w:val="center"/>
          </w:tcPr>
          <w:p>
            <w:r>
              <w:rPr>
                <w:b w:val="false"/>
                <w:bCs w:val="false"/>
                <w:color w:val="222222"/>
                <w:sz w:val="14"/>
                <w:szCs w:val="14"/>
              </w:rPr>
              <w:t xml:space="preserve">22 (38%)</w:t>
            </w:r>
          </w:p>
        </w:tc>
        <w:tc>
          <w:tcPr>
            <w:tcW w:type="dxa" w:w="5899"/>
            <w:tcMar>
              <w:top w:type="dxa" w:w="50"/>
              <w:left w:type="dxa" w:w="60"/>
              <w:bottom w:type="dxa" w:w="50"/>
              <w:right w:type="dxa" w:w="60"/>
            </w:tcMar>
            <w:vAlign w:val="center"/>
          </w:tcPr>
          <w:p>
            <w:r>
              <w:rPr>
                <w:b w:val="false"/>
                <w:bCs w:val="false"/>
                <w:color w:val="222222"/>
                <w:sz w:val="14"/>
                <w:szCs w:val="14"/>
              </w:rPr>
              <w:t xml:space="preserve">23 (40%)</w:t>
            </w:r>
          </w:p>
        </w:tc>
      </w:tr>
      <w:tr>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Benefício mantido</w:t>
            </w:r>
          </w:p>
        </w:tc>
        <w:tc>
          <w:tcPr>
            <w:tcW w:type="dxa" w:w="5899"/>
            <w:shd w:fill="EAF1F8" w:val="clear"/>
            <w:tcMar>
              <w:top w:type="dxa" w:w="50"/>
              <w:left w:type="dxa" w:w="60"/>
              <w:bottom w:type="dxa" w:w="50"/>
              <w:right w:type="dxa" w:w="60"/>
            </w:tcMar>
            <w:vAlign w:val="center"/>
          </w:tcPr>
          <w:p>
            <w:r>
              <w:rPr>
                <w:b w:val="false"/>
                <w:bCs w:val="false"/>
                <w:color w:val="222222"/>
                <w:sz w:val="14"/>
                <w:szCs w:val="14"/>
              </w:rPr>
              <w:t xml:space="preserve">18 (31%)</w:t>
            </w:r>
          </w:p>
        </w:tc>
        <w:tc>
          <w:tcPr>
            <w:tcW w:type="dxa" w:w="5899"/>
            <w:shd w:fill="EAF1F8" w:val="clear"/>
            <w:tcMar>
              <w:top w:type="dxa" w:w="50"/>
              <w:left w:type="dxa" w:w="60"/>
              <w:bottom w:type="dxa" w:w="50"/>
              <w:right w:type="dxa" w:w="60"/>
            </w:tcMar>
            <w:vAlign w:val="center"/>
          </w:tcPr>
          <w:p>
            <w:r>
              <w:rPr>
                <w:b w:val="false"/>
                <w:bCs w:val="false"/>
                <w:color w:val="222222"/>
                <w:sz w:val="14"/>
                <w:szCs w:val="14"/>
              </w:rPr>
              <w:t xml:space="preserve">20 (34%)</w:t>
            </w:r>
          </w:p>
        </w:tc>
      </w:tr>
      <w:tr>
        <w:tc>
          <w:tcPr>
            <w:tcW w:type="dxa" w:w="3800"/>
            <w:tcMar>
              <w:top w:type="dxa" w:w="50"/>
              <w:left w:type="dxa" w:w="60"/>
              <w:bottom w:type="dxa" w:w="50"/>
              <w:right w:type="dxa" w:w="60"/>
            </w:tcMar>
            <w:vAlign w:val="center"/>
          </w:tcPr>
          <w:p>
            <w:r>
              <w:rPr>
                <w:b w:val="false"/>
                <w:bCs w:val="false"/>
                <w:color w:val="222222"/>
                <w:sz w:val="14"/>
                <w:szCs w:val="14"/>
              </w:rPr>
              <w:t xml:space="preserve">Ambíguo</w:t>
            </w:r>
          </w:p>
        </w:tc>
        <w:tc>
          <w:tcPr>
            <w:tcW w:type="dxa" w:w="5899"/>
            <w:tcMar>
              <w:top w:type="dxa" w:w="50"/>
              <w:left w:type="dxa" w:w="60"/>
              <w:bottom w:type="dxa" w:w="50"/>
              <w:right w:type="dxa" w:w="60"/>
            </w:tcMar>
            <w:vAlign w:val="center"/>
          </w:tcPr>
          <w:p>
            <w:r>
              <w:rPr>
                <w:b w:val="false"/>
                <w:bCs w:val="false"/>
                <w:color w:val="222222"/>
                <w:sz w:val="14"/>
                <w:szCs w:val="14"/>
              </w:rPr>
              <w:t xml:space="preserve">18 (31%)</w:t>
            </w:r>
          </w:p>
        </w:tc>
        <w:tc>
          <w:tcPr>
            <w:tcW w:type="dxa" w:w="5899"/>
            <w:tcMar>
              <w:top w:type="dxa" w:w="50"/>
              <w:left w:type="dxa" w:w="60"/>
              <w:bottom w:type="dxa" w:w="50"/>
              <w:right w:type="dxa" w:w="60"/>
            </w:tcMar>
            <w:vAlign w:val="center"/>
          </w:tcPr>
          <w:p>
            <w:r>
              <w:rPr>
                <w:b w:val="false"/>
                <w:bCs w:val="false"/>
                <w:color w:val="222222"/>
                <w:sz w:val="14"/>
                <w:szCs w:val="14"/>
              </w:rPr>
              <w:t xml:space="preserve">15 (26%)</w:t>
            </w:r>
          </w:p>
        </w:tc>
      </w:tr>
      <w:tr>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Poluente mais estudado</w:t>
            </w:r>
          </w:p>
        </w:tc>
        <w:tc>
          <w:tcPr>
            <w:tcW w:type="dxa" w:w="5899"/>
            <w:shd w:fill="EAF1F8" w:val="clear"/>
            <w:tcMar>
              <w:top w:type="dxa" w:w="50"/>
              <w:left w:type="dxa" w:w="60"/>
              <w:bottom w:type="dxa" w:w="50"/>
              <w:right w:type="dxa" w:w="60"/>
            </w:tcMar>
            <w:vAlign w:val="center"/>
          </w:tcPr>
          <w:p>
            <w:r>
              <w:rPr>
                <w:b w:val="false"/>
                <w:bCs w:val="false"/>
                <w:color w:val="222222"/>
                <w:sz w:val="14"/>
                <w:szCs w:val="14"/>
              </w:rPr>
              <w:t xml:space="preserve">PM2.5 (35)</w:t>
            </w:r>
          </w:p>
        </w:tc>
        <w:tc>
          <w:tcPr>
            <w:tcW w:type="dxa" w:w="5899"/>
            <w:shd w:fill="EAF1F8" w:val="clear"/>
            <w:tcMar>
              <w:top w:type="dxa" w:w="50"/>
              <w:left w:type="dxa" w:w="60"/>
              <w:bottom w:type="dxa" w:w="50"/>
              <w:right w:type="dxa" w:w="60"/>
            </w:tcMar>
            <w:vAlign w:val="center"/>
          </w:tcPr>
          <w:p>
            <w:r>
              <w:rPr>
                <w:b w:val="false"/>
                <w:bCs w:val="false"/>
                <w:color w:val="222222"/>
                <w:sz w:val="14"/>
                <w:szCs w:val="14"/>
              </w:rPr>
              <w:t xml:space="preserve">PM2.5 (39)</w:t>
            </w:r>
          </w:p>
        </w:tc>
      </w:tr>
      <w:tr>
        <w:tc>
          <w:tcPr>
            <w:tcW w:type="dxa" w:w="3800"/>
            <w:tcMar>
              <w:top w:type="dxa" w:w="50"/>
              <w:left w:type="dxa" w:w="60"/>
              <w:bottom w:type="dxa" w:w="50"/>
              <w:right w:type="dxa" w:w="60"/>
            </w:tcMar>
            <w:vAlign w:val="center"/>
          </w:tcPr>
          <w:p>
            <w:r>
              <w:rPr>
                <w:b w:val="false"/>
                <w:bCs w:val="false"/>
                <w:color w:val="222222"/>
                <w:sz w:val="14"/>
                <w:szCs w:val="14"/>
              </w:rPr>
              <w:t xml:space="preserve">Desfecho mais estudado</w:t>
            </w:r>
          </w:p>
        </w:tc>
        <w:tc>
          <w:tcPr>
            <w:tcW w:type="dxa" w:w="5899"/>
            <w:tcMar>
              <w:top w:type="dxa" w:w="50"/>
              <w:left w:type="dxa" w:w="60"/>
              <w:bottom w:type="dxa" w:w="50"/>
              <w:right w:type="dxa" w:w="60"/>
            </w:tcMar>
            <w:vAlign w:val="center"/>
          </w:tcPr>
          <w:p>
            <w:r>
              <w:rPr>
                <w:b w:val="false"/>
                <w:bCs w:val="false"/>
                <w:color w:val="222222"/>
                <w:sz w:val="14"/>
                <w:szCs w:val="14"/>
              </w:rPr>
              <w:t xml:space="preserve">Doenças cardiovasculares — 24</w:t>
            </w:r>
          </w:p>
        </w:tc>
        <w:tc>
          <w:tcPr>
            <w:tcW w:type="dxa" w:w="5899"/>
            <w:tcMar>
              <w:top w:type="dxa" w:w="50"/>
              <w:left w:type="dxa" w:w="60"/>
              <w:bottom w:type="dxa" w:w="50"/>
              <w:right w:type="dxa" w:w="60"/>
            </w:tcMar>
            <w:vAlign w:val="center"/>
          </w:tcPr>
          <w:p>
            <w:r>
              <w:rPr>
                <w:b w:val="false"/>
                <w:bCs w:val="false"/>
                <w:color w:val="222222"/>
                <w:sz w:val="14"/>
                <w:szCs w:val="14"/>
              </w:rPr>
              <w:t xml:space="preserve">Transtornos cognitivos — 12</w:t>
            </w:r>
          </w:p>
        </w:tc>
      </w:tr>
    </w:tbl>
    <w:p>
      <w:pPr>
        <w:pStyle w:val="Heading1"/>
        <w:spacing w:after="120" w:before="320"/>
      </w:pPr>
      <w:r>
        <w:rPr>
          <w:b/>
          <w:bCs/>
          <w:color w:val="1F4E79"/>
          <w:sz w:val="26"/>
          <w:szCs w:val="26"/>
        </w:rPr>
        <w:t xml:space="preserve">2. Crescimento da produção científica na atualização</w:t>
      </w:r>
    </w:p>
    <w:p>
      <w:pPr>
        <w:spacing w:after="140"/>
      </w:pPr>
      <w:r>
        <w:rPr>
          <w:i/>
          <w:iCs/>
          <w:color w:val="595959"/>
          <w:sz w:val="20"/>
          <w:szCs w:val="20"/>
        </w:rPr>
        <w:t xml:space="preserve">Volume bruto de registros encontrados na busca da atualização (PubMed + Scopus + Web of Science), ano a ano, antes de qualquer triagem — mostra o ritmo de publicação no tema, não o número de estudos elegíveis.</w:t>
      </w:r>
    </w:p>
    <w:tbl>
      <w:tblPr>
        <w:tblW w:type="dxa" w:w="15598"/>
        <w:tblBorders>
          <w:top w:val="single" w:color="AAAAAA" w:sz="4"/>
          <w:left w:val="single" w:color="AAAAAA" w:sz="4"/>
          <w:bottom w:val="single" w:color="AAAAAA" w:sz="4"/>
          <w:right w:val="single" w:color="AAAAAA" w:sz="4"/>
          <w:insideH w:val="single" w:color="CCCCCC" w:sz="2"/>
          <w:insideV w:val="single" w:color="CCCCCC" w:sz="2"/>
        </w:tblBorders>
      </w:tblPr>
      <w:tblGrid>
        <w:gridCol w:w="3800"/>
        <w:gridCol w:w="3800"/>
        <w:gridCol w:w="7998"/>
      </w:tblGrid>
      <w:tr>
        <w:trPr>
          <w:tblHeader/>
        </w:trPr>
        <w:tc>
          <w:tcPr>
            <w:tcW w:type="dxa" w:w="3800"/>
            <w:shd w:fill="1F4E79" w:val="clear"/>
            <w:tcMar>
              <w:top w:type="dxa" w:w="60"/>
              <w:left w:type="dxa" w:w="60"/>
              <w:bottom w:type="dxa" w:w="60"/>
              <w:right w:type="dxa" w:w="60"/>
            </w:tcMar>
            <w:vAlign w:val="center"/>
          </w:tcPr>
          <w:p>
            <w:r>
              <w:rPr>
                <w:b/>
                <w:bCs/>
                <w:color w:val="FFFFFF"/>
                <w:sz w:val="14"/>
                <w:szCs w:val="14"/>
              </w:rPr>
              <w:t xml:space="preserve">Ano</w:t>
            </w:r>
          </w:p>
        </w:tc>
        <w:tc>
          <w:tcPr>
            <w:tcW w:type="dxa" w:w="3800"/>
            <w:shd w:fill="1F4E79" w:val="clear"/>
            <w:tcMar>
              <w:top w:type="dxa" w:w="60"/>
              <w:left w:type="dxa" w:w="60"/>
              <w:bottom w:type="dxa" w:w="60"/>
              <w:right w:type="dxa" w:w="60"/>
            </w:tcMar>
            <w:vAlign w:val="center"/>
          </w:tcPr>
          <w:p>
            <w:r>
              <w:rPr>
                <w:b/>
                <w:bCs/>
                <w:color w:val="FFFFFF"/>
                <w:sz w:val="14"/>
                <w:szCs w:val="14"/>
              </w:rPr>
              <w:t xml:space="preserve">Registros encontrados</w:t>
            </w:r>
          </w:p>
        </w:tc>
        <w:tc>
          <w:tcPr>
            <w:tcW w:type="dxa" w:w="7998"/>
            <w:shd w:fill="1F4E79" w:val="clear"/>
            <w:tcMar>
              <w:top w:type="dxa" w:w="60"/>
              <w:left w:type="dxa" w:w="60"/>
              <w:bottom w:type="dxa" w:w="60"/>
              <w:right w:type="dxa" w:w="60"/>
            </w:tcMar>
            <w:vAlign w:val="center"/>
          </w:tcPr>
          <w:p>
            <w:r>
              <w:rPr>
                <w:b/>
                <w:bCs/>
                <w:color w:val="FFFFFF"/>
                <w:sz w:val="14"/>
                <w:szCs w:val="14"/>
              </w:rPr>
              <w:t xml:space="preserve">Crescimento vs. ano anterior</w:t>
            </w:r>
          </w:p>
        </w:tc>
      </w:tr>
      <w:tr>
        <w:tc>
          <w:tcPr>
            <w:tcW w:type="dxa" w:w="3800"/>
            <w:tcMar>
              <w:top w:type="dxa" w:w="50"/>
              <w:left w:type="dxa" w:w="60"/>
              <w:bottom w:type="dxa" w:w="50"/>
              <w:right w:type="dxa" w:w="60"/>
            </w:tcMar>
            <w:vAlign w:val="center"/>
          </w:tcPr>
          <w:p>
            <w:r>
              <w:rPr>
                <w:b w:val="false"/>
                <w:bCs w:val="false"/>
                <w:color w:val="222222"/>
                <w:sz w:val="14"/>
                <w:szCs w:val="14"/>
              </w:rPr>
              <w:t xml:space="preserve">2022</w:t>
            </w:r>
          </w:p>
        </w:tc>
        <w:tc>
          <w:tcPr>
            <w:tcW w:type="dxa" w:w="3800"/>
            <w:tcMar>
              <w:top w:type="dxa" w:w="50"/>
              <w:left w:type="dxa" w:w="60"/>
              <w:bottom w:type="dxa" w:w="50"/>
              <w:right w:type="dxa" w:w="60"/>
            </w:tcMar>
            <w:vAlign w:val="center"/>
          </w:tcPr>
          <w:p>
            <w:r>
              <w:rPr>
                <w:b w:val="false"/>
                <w:bCs w:val="false"/>
                <w:color w:val="222222"/>
                <w:sz w:val="14"/>
                <w:szCs w:val="14"/>
              </w:rPr>
              <w:t xml:space="preserve">189</w:t>
            </w:r>
          </w:p>
        </w:tc>
        <w:tc>
          <w:tcPr>
            <w:tcW w:type="dxa" w:w="7998"/>
            <w:tcMar>
              <w:top w:type="dxa" w:w="50"/>
              <w:left w:type="dxa" w:w="60"/>
              <w:bottom w:type="dxa" w:w="50"/>
              <w:right w:type="dxa" w:w="60"/>
            </w:tcMar>
            <w:vAlign w:val="center"/>
          </w:tcPr>
          <w:p>
            <w:r>
              <w:rPr>
                <w:b w:val="false"/>
                <w:bCs w:val="false"/>
                <w:color w:val="222222"/>
                <w:sz w:val="14"/>
                <w:szCs w:val="14"/>
              </w:rPr>
              <w:t xml:space="preserve">—</w:t>
            </w:r>
          </w:p>
        </w:tc>
      </w:tr>
      <w:tr>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2023</w:t>
            </w:r>
          </w:p>
        </w:tc>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266</w:t>
            </w:r>
          </w:p>
        </w:tc>
        <w:tc>
          <w:tcPr>
            <w:tcW w:type="dxa" w:w="7998"/>
            <w:shd w:fill="EAF1F8" w:val="clear"/>
            <w:tcMar>
              <w:top w:type="dxa" w:w="50"/>
              <w:left w:type="dxa" w:w="60"/>
              <w:bottom w:type="dxa" w:w="50"/>
              <w:right w:type="dxa" w:w="60"/>
            </w:tcMar>
            <w:vAlign w:val="center"/>
          </w:tcPr>
          <w:p>
            <w:r>
              <w:rPr>
                <w:b w:val="false"/>
                <w:bCs w:val="false"/>
                <w:color w:val="222222"/>
                <w:sz w:val="14"/>
                <w:szCs w:val="14"/>
              </w:rPr>
              <w:t xml:space="preserve">+40.7%</w:t>
            </w:r>
          </w:p>
        </w:tc>
      </w:tr>
      <w:tr>
        <w:tc>
          <w:tcPr>
            <w:tcW w:type="dxa" w:w="3800"/>
            <w:tcMar>
              <w:top w:type="dxa" w:w="50"/>
              <w:left w:type="dxa" w:w="60"/>
              <w:bottom w:type="dxa" w:w="50"/>
              <w:right w:type="dxa" w:w="60"/>
            </w:tcMar>
            <w:vAlign w:val="center"/>
          </w:tcPr>
          <w:p>
            <w:r>
              <w:rPr>
                <w:b w:val="false"/>
                <w:bCs w:val="false"/>
                <w:color w:val="222222"/>
                <w:sz w:val="14"/>
                <w:szCs w:val="14"/>
              </w:rPr>
              <w:t xml:space="preserve">2024</w:t>
            </w:r>
          </w:p>
        </w:tc>
        <w:tc>
          <w:tcPr>
            <w:tcW w:type="dxa" w:w="3800"/>
            <w:tcMar>
              <w:top w:type="dxa" w:w="50"/>
              <w:left w:type="dxa" w:w="60"/>
              <w:bottom w:type="dxa" w:w="50"/>
              <w:right w:type="dxa" w:w="60"/>
            </w:tcMar>
            <w:vAlign w:val="center"/>
          </w:tcPr>
          <w:p>
            <w:r>
              <w:rPr>
                <w:b w:val="false"/>
                <w:bCs w:val="false"/>
                <w:color w:val="222222"/>
                <w:sz w:val="14"/>
                <w:szCs w:val="14"/>
              </w:rPr>
              <w:t xml:space="preserve">448</w:t>
            </w:r>
          </w:p>
        </w:tc>
        <w:tc>
          <w:tcPr>
            <w:tcW w:type="dxa" w:w="7998"/>
            <w:tcMar>
              <w:top w:type="dxa" w:w="50"/>
              <w:left w:type="dxa" w:w="60"/>
              <w:bottom w:type="dxa" w:w="50"/>
              <w:right w:type="dxa" w:w="60"/>
            </w:tcMar>
            <w:vAlign w:val="center"/>
          </w:tcPr>
          <w:p>
            <w:r>
              <w:rPr>
                <w:b w:val="false"/>
                <w:bCs w:val="false"/>
                <w:color w:val="222222"/>
                <w:sz w:val="14"/>
                <w:szCs w:val="14"/>
              </w:rPr>
              <w:t xml:space="preserve">+68.4%</w:t>
            </w:r>
          </w:p>
        </w:tc>
      </w:tr>
      <w:tr>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2025</w:t>
            </w:r>
          </w:p>
        </w:tc>
        <w:tc>
          <w:tcPr>
            <w:tcW w:type="dxa" w:w="3800"/>
            <w:shd w:fill="EAF1F8" w:val="clear"/>
            <w:tcMar>
              <w:top w:type="dxa" w:w="50"/>
              <w:left w:type="dxa" w:w="60"/>
              <w:bottom w:type="dxa" w:w="50"/>
              <w:right w:type="dxa" w:w="60"/>
            </w:tcMar>
            <w:vAlign w:val="center"/>
          </w:tcPr>
          <w:p>
            <w:r>
              <w:rPr>
                <w:b w:val="false"/>
                <w:bCs w:val="false"/>
                <w:color w:val="222222"/>
                <w:sz w:val="14"/>
                <w:szCs w:val="14"/>
              </w:rPr>
              <w:t xml:space="preserve">517</w:t>
            </w:r>
          </w:p>
        </w:tc>
        <w:tc>
          <w:tcPr>
            <w:tcW w:type="dxa" w:w="7998"/>
            <w:shd w:fill="EAF1F8" w:val="clear"/>
            <w:tcMar>
              <w:top w:type="dxa" w:w="50"/>
              <w:left w:type="dxa" w:w="60"/>
              <w:bottom w:type="dxa" w:w="50"/>
              <w:right w:type="dxa" w:w="60"/>
            </w:tcMar>
            <w:vAlign w:val="center"/>
          </w:tcPr>
          <w:p>
            <w:r>
              <w:rPr>
                <w:b w:val="false"/>
                <w:bCs w:val="false"/>
                <w:color w:val="222222"/>
                <w:sz w:val="14"/>
                <w:szCs w:val="14"/>
              </w:rPr>
              <w:t xml:space="preserve">+15.4%</w:t>
            </w:r>
          </w:p>
        </w:tc>
      </w:tr>
    </w:tbl>
    <w:p>
      <w:pPr>
        <w:spacing w:before="140"/>
      </w:pPr>
      <w:r>
        <w:rPr>
          <w:color w:val="595959"/>
          <w:sz w:val="20"/>
          <w:szCs w:val="20"/>
        </w:rPr>
        <w:t xml:space="preserve">Em três anos (2022→2025), o volume de publicações sobre poluição do ar, idoso e atividade física quase triplicou (189 → 517 registros/ano, alta acumulada de 174%). 2026 está com dados parciais (busca em andamento) e não entra nesta tabela para não distorcer a leitura de tendência.</w:t>
      </w:r>
    </w:p>
    <w:p>
      <w:pPr>
        <w:pStyle w:val="Heading1"/>
        <w:spacing w:after="120" w:before="320"/>
      </w:pPr>
      <w:r>
        <w:rPr>
          <w:b/>
          <w:bCs/>
          <w:color w:val="1F4E79"/>
          <w:sz w:val="26"/>
          <w:szCs w:val="26"/>
        </w:rPr>
        <w:t xml:space="preserve">3. Síntese dos 58 artigos novos</w:t>
      </w:r>
    </w:p>
    <w:p>
      <w:pPr>
        <w:spacing w:after="140"/>
      </w:pPr>
      <w:r>
        <w:rPr>
          <w:sz w:val="20"/>
          <w:szCs w:val="20"/>
        </w:rPr>
        <w:t xml:space="preserve">Os 58 artigos novos concentram-se fortemente em coortes de base populacional chinesas: 37 dos 58 (64%) foram conduzidos na China, com a coorte CHARLS (China Health and Retirement Longitudinal Study) presente isoladamente em 19 estudos e a CLHLS (China Longitudinal Healthy Longevity Survey) em mais 3. O poluente mais estudado segue sendo o material particulado fino (PM2,5), presente em 39 dos 58 artigos — o mesmo poluente de maior destaque no artigo original (35 dos 58). A principal mudança temática está no desfecho: transtornos cognitivos (demência, declínio cognitivo, doença de Alzheimer) tornaram-se o desfecho mais estudado (12 dos 58), à frente de desfechos gerais de saúde e doenças cardiovasculares — no artigo original esse tema aparecia diluído dentro de "transtornos mentais", sem peso próprio. A distribuição de achados manteve-se próxima à do artigo original, sem inversão de padrão: risco encontrado segue como a categoria mais frequente em ambos os grupos, seguida de perto por benefício mantido.</w:t>
      </w:r>
    </w:p>
    <w:p>
      <w:pPr>
        <w:spacing w:after="100"/>
      </w:pPr>
      <w:r>
        <w:rPr>
          <w:i/>
          <w:iCs/>
          <w:color w:val="595959"/>
          <w:sz w:val="20"/>
          <w:szCs w:val="20"/>
        </w:rPr>
        <w:t xml:space="preserve">Limitação a registrar: como a extração usou apenas o resumo publicado, não o texto completo, 23 dos 58 artigos (40%) não relatam idade média ou faixa etária de forma explícita no resumo, e 21 (36%) não detalham o instrumento usado para medir atividade física. Esses campos ficam marcados "NR" na tabela da seção 4 e dependem de leitura do texto completo, com acesso institucional, para confirmação.</w:t>
      </w:r>
    </w:p>
    <w:p>
      <w:r>
        <w:br w:type="page"/>
      </w:r>
    </w:p>
    <w:p>
      <w:pPr>
        <w:pStyle w:val="Heading1"/>
        <w:spacing w:after="120" w:before="0"/>
      </w:pPr>
      <w:r>
        <w:rPr>
          <w:b/>
          <w:bCs/>
          <w:color w:val="1F4E79"/>
          <w:sz w:val="26"/>
          <w:szCs w:val="26"/>
        </w:rPr>
        <w:t xml:space="preserve">4. Tabela de extração completa — 116 estudos</w:t>
      </w:r>
    </w:p>
    <w:p>
      <w:pPr>
        <w:spacing w:after="140"/>
      </w:pPr>
      <w:r>
        <w:rPr>
          <w:i/>
          <w:iCs/>
          <w:color w:val="595959"/>
          <w:sz w:val="20"/>
          <w:szCs w:val="20"/>
        </w:rPr>
        <w:t xml:space="preserve">Mesmas colunas das Tabelas 4, 5 e 6 do artigo publicado. Linhas verdes = artigo original (58). Linhas brancas = atualização, 58 confirmados por resumo real via PubMed. "NR" (not reported) marca todo campo que o resumo não informa — nenhum dado foi inferido.</w:t>
      </w:r>
    </w:p>
    <w:tbl>
      <w:tblPr>
        <w:tblW w:type="dxa" w:w="15598"/>
        <w:tblBorders>
          <w:top w:val="single" w:color="AAAAAA" w:sz="4"/>
          <w:left w:val="single" w:color="AAAAAA" w:sz="4"/>
          <w:bottom w:val="single" w:color="AAAAAA" w:sz="4"/>
          <w:right w:val="single" w:color="AAAAAA" w:sz="4"/>
          <w:insideH w:val="single" w:color="CCCCCC" w:sz="2"/>
          <w:insideV w:val="single" w:color="CCCCCC" w:sz="2"/>
        </w:tblBorders>
      </w:tblPr>
      <w:tblGrid>
        <w:gridCol w:w="1350"/>
        <w:gridCol w:w="1300"/>
        <w:gridCol w:w="800"/>
        <w:gridCol w:w="2100"/>
        <w:gridCol w:w="650"/>
        <w:gridCol w:w="400"/>
        <w:gridCol w:w="1350"/>
        <w:gridCol w:w="1150"/>
        <w:gridCol w:w="550"/>
        <w:gridCol w:w="550"/>
        <w:gridCol w:w="1200"/>
        <w:gridCol w:w="800"/>
        <w:gridCol w:w="3398"/>
      </w:tblGrid>
      <w:tr>
        <w:trPr>
          <w:tblHeader/>
        </w:trPr>
        <w:tc>
          <w:tcPr>
            <w:tcW w:type="dxa" w:w="1350"/>
            <w:shd w:fill="1F4E79" w:val="clear"/>
            <w:tcMar>
              <w:top w:type="dxa" w:w="60"/>
              <w:left w:type="dxa" w:w="60"/>
              <w:bottom w:type="dxa" w:w="60"/>
              <w:right w:type="dxa" w:w="60"/>
            </w:tcMar>
            <w:vAlign w:val="center"/>
          </w:tcPr>
          <w:p>
            <w:r>
              <w:rPr>
                <w:b/>
                <w:bCs/>
                <w:color w:val="FFFFFF"/>
                <w:sz w:val="14"/>
                <w:szCs w:val="14"/>
              </w:rPr>
              <w:t xml:space="preserve">Origem</w:t>
            </w:r>
          </w:p>
        </w:tc>
        <w:tc>
          <w:tcPr>
            <w:tcW w:type="dxa" w:w="1300"/>
            <w:shd w:fill="1F4E79" w:val="clear"/>
            <w:tcMar>
              <w:top w:type="dxa" w:w="60"/>
              <w:left w:type="dxa" w:w="60"/>
              <w:bottom w:type="dxa" w:w="60"/>
              <w:right w:type="dxa" w:w="60"/>
            </w:tcMar>
            <w:vAlign w:val="center"/>
          </w:tcPr>
          <w:p>
            <w:r>
              <w:rPr>
                <w:b/>
                <w:bCs/>
                <w:color w:val="FFFFFF"/>
                <w:sz w:val="14"/>
                <w:szCs w:val="14"/>
              </w:rPr>
              <w:t xml:space="preserve">Autor (ano)</w:t>
            </w:r>
          </w:p>
        </w:tc>
        <w:tc>
          <w:tcPr>
            <w:tcW w:type="dxa" w:w="800"/>
            <w:shd w:fill="1F4E79" w:val="clear"/>
            <w:tcMar>
              <w:top w:type="dxa" w:w="60"/>
              <w:left w:type="dxa" w:w="60"/>
              <w:bottom w:type="dxa" w:w="60"/>
              <w:right w:type="dxa" w:w="60"/>
            </w:tcMar>
            <w:vAlign w:val="center"/>
          </w:tcPr>
          <w:p>
            <w:r>
              <w:rPr>
                <w:b/>
                <w:bCs/>
                <w:color w:val="FFFFFF"/>
                <w:sz w:val="14"/>
                <w:szCs w:val="14"/>
              </w:rPr>
              <w:t xml:space="preserve">País</w:t>
            </w:r>
          </w:p>
        </w:tc>
        <w:tc>
          <w:tcPr>
            <w:tcW w:type="dxa" w:w="2100"/>
            <w:shd w:fill="1F4E79" w:val="clear"/>
            <w:tcMar>
              <w:top w:type="dxa" w:w="60"/>
              <w:left w:type="dxa" w:w="60"/>
              <w:bottom w:type="dxa" w:w="60"/>
              <w:right w:type="dxa" w:w="60"/>
            </w:tcMar>
            <w:vAlign w:val="center"/>
          </w:tcPr>
          <w:p>
            <w:r>
              <w:rPr>
                <w:b/>
                <w:bCs/>
                <w:color w:val="FFFFFF"/>
                <w:sz w:val="14"/>
                <w:szCs w:val="14"/>
              </w:rPr>
              <w:t xml:space="preserve">População</w:t>
            </w:r>
          </w:p>
        </w:tc>
        <w:tc>
          <w:tcPr>
            <w:tcW w:type="dxa" w:w="650"/>
            <w:shd w:fill="1F4E79" w:val="clear"/>
            <w:tcMar>
              <w:top w:type="dxa" w:w="60"/>
              <w:left w:type="dxa" w:w="60"/>
              <w:bottom w:type="dxa" w:w="60"/>
              <w:right w:type="dxa" w:w="60"/>
            </w:tcMar>
            <w:vAlign w:val="center"/>
          </w:tcPr>
          <w:p>
            <w:r>
              <w:rPr>
                <w:b/>
                <w:bCs/>
                <w:color w:val="FFFFFF"/>
                <w:sz w:val="14"/>
                <w:szCs w:val="14"/>
              </w:rPr>
              <w:t xml:space="preserve">Idade</w:t>
            </w:r>
          </w:p>
        </w:tc>
        <w:tc>
          <w:tcPr>
            <w:tcW w:type="dxa" w:w="400"/>
            <w:shd w:fill="1F4E79" w:val="clear"/>
            <w:tcMar>
              <w:top w:type="dxa" w:w="60"/>
              <w:left w:type="dxa" w:w="60"/>
              <w:bottom w:type="dxa" w:w="60"/>
              <w:right w:type="dxa" w:w="60"/>
            </w:tcMar>
            <w:vAlign w:val="center"/>
          </w:tcPr>
          <w:p>
            <w:r>
              <w:rPr>
                <w:b/>
                <w:bCs/>
                <w:color w:val="FFFFFF"/>
                <w:sz w:val="14"/>
                <w:szCs w:val="14"/>
              </w:rPr>
              <w:t xml:space="preserve">Sexo</w:t>
            </w:r>
          </w:p>
        </w:tc>
        <w:tc>
          <w:tcPr>
            <w:tcW w:type="dxa" w:w="1350"/>
            <w:shd w:fill="1F4E79" w:val="clear"/>
            <w:tcMar>
              <w:top w:type="dxa" w:w="60"/>
              <w:left w:type="dxa" w:w="60"/>
              <w:bottom w:type="dxa" w:w="60"/>
              <w:right w:type="dxa" w:w="60"/>
            </w:tcMar>
            <w:vAlign w:val="center"/>
          </w:tcPr>
          <w:p>
            <w:r>
              <w:rPr>
                <w:b/>
                <w:bCs/>
                <w:color w:val="FFFFFF"/>
                <w:sz w:val="14"/>
                <w:szCs w:val="14"/>
              </w:rPr>
              <w:t xml:space="preserve">Tipo de AF</w:t>
            </w:r>
          </w:p>
        </w:tc>
        <w:tc>
          <w:tcPr>
            <w:tcW w:type="dxa" w:w="1150"/>
            <w:shd w:fill="1F4E79" w:val="clear"/>
            <w:tcMar>
              <w:top w:type="dxa" w:w="60"/>
              <w:left w:type="dxa" w:w="60"/>
              <w:bottom w:type="dxa" w:w="60"/>
              <w:right w:type="dxa" w:w="60"/>
            </w:tcMar>
            <w:vAlign w:val="center"/>
          </w:tcPr>
          <w:p>
            <w:r>
              <w:rPr>
                <w:b/>
                <w:bCs/>
                <w:color w:val="FFFFFF"/>
                <w:sz w:val="14"/>
                <w:szCs w:val="14"/>
              </w:rPr>
              <w:t xml:space="preserve">Poluentes</w:t>
            </w:r>
          </w:p>
        </w:tc>
        <w:tc>
          <w:tcPr>
            <w:tcW w:type="dxa" w:w="550"/>
            <w:shd w:fill="1F4E79" w:val="clear"/>
            <w:tcMar>
              <w:top w:type="dxa" w:w="60"/>
              <w:left w:type="dxa" w:w="60"/>
              <w:bottom w:type="dxa" w:w="60"/>
              <w:right w:type="dxa" w:w="60"/>
            </w:tcMar>
            <w:vAlign w:val="center"/>
          </w:tcPr>
          <w:p>
            <w:r>
              <w:rPr>
                <w:b/>
                <w:bCs/>
                <w:color w:val="FFFFFF"/>
                <w:sz w:val="14"/>
                <w:szCs w:val="14"/>
              </w:rPr>
              <w:t xml:space="preserve">Amb. AF</w:t>
            </w:r>
          </w:p>
        </w:tc>
        <w:tc>
          <w:tcPr>
            <w:tcW w:type="dxa" w:w="550"/>
            <w:shd w:fill="1F4E79" w:val="clear"/>
            <w:tcMar>
              <w:top w:type="dxa" w:w="60"/>
              <w:left w:type="dxa" w:w="60"/>
              <w:bottom w:type="dxa" w:w="60"/>
              <w:right w:type="dxa" w:w="60"/>
            </w:tcMar>
            <w:vAlign w:val="center"/>
          </w:tcPr>
          <w:p>
            <w:r>
              <w:rPr>
                <w:b/>
                <w:bCs/>
                <w:color w:val="FFFFFF"/>
                <w:sz w:val="14"/>
                <w:szCs w:val="14"/>
              </w:rPr>
              <w:t xml:space="preserve">Amb. urb.</w:t>
            </w:r>
          </w:p>
        </w:tc>
        <w:tc>
          <w:tcPr>
            <w:tcW w:type="dxa" w:w="1200"/>
            <w:shd w:fill="1F4E79" w:val="clear"/>
            <w:tcMar>
              <w:top w:type="dxa" w:w="60"/>
              <w:left w:type="dxa" w:w="60"/>
              <w:bottom w:type="dxa" w:w="60"/>
              <w:right w:type="dxa" w:w="60"/>
            </w:tcMar>
            <w:vAlign w:val="center"/>
          </w:tcPr>
          <w:p>
            <w:r>
              <w:rPr>
                <w:b/>
                <w:bCs/>
                <w:color w:val="FFFFFF"/>
                <w:sz w:val="14"/>
                <w:szCs w:val="14"/>
              </w:rPr>
              <w:t xml:space="preserve">Desfecho</w:t>
            </w:r>
          </w:p>
        </w:tc>
        <w:tc>
          <w:tcPr>
            <w:tcW w:type="dxa" w:w="800"/>
            <w:shd w:fill="1F4E79" w:val="clear"/>
            <w:tcMar>
              <w:top w:type="dxa" w:w="60"/>
              <w:left w:type="dxa" w:w="60"/>
              <w:bottom w:type="dxa" w:w="60"/>
              <w:right w:type="dxa" w:w="60"/>
            </w:tcMar>
            <w:vAlign w:val="center"/>
          </w:tcPr>
          <w:p>
            <w:r>
              <w:rPr>
                <w:b/>
                <w:bCs/>
                <w:color w:val="FFFFFF"/>
                <w:sz w:val="14"/>
                <w:szCs w:val="14"/>
              </w:rPr>
              <w:t xml:space="preserve">Achado</w:t>
            </w:r>
          </w:p>
        </w:tc>
        <w:tc>
          <w:tcPr>
            <w:tcW w:type="dxa" w:w="3398"/>
            <w:shd w:fill="1F4E79" w:val="clear"/>
            <w:tcMar>
              <w:top w:type="dxa" w:w="60"/>
              <w:left w:type="dxa" w:w="60"/>
              <w:bottom w:type="dxa" w:w="60"/>
              <w:right w:type="dxa" w:w="60"/>
            </w:tcMar>
            <w:vAlign w:val="center"/>
          </w:tcPr>
          <w:p>
            <w:r>
              <w:rPr>
                <w:b/>
                <w:bCs/>
                <w:color w:val="FFFFFF"/>
                <w:sz w:val="14"/>
                <w:szCs w:val="14"/>
              </w:rPr>
              <w:t xml:space="preserve">Resumo do achado</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Yu et al. (2021)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Mexican American 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70.5±6.9</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PA at leisure and outdoors</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O3 exposure increased the risk of diabetes among older Mexican Americans, particularly among those with higher levels of leisure-time outdoor physical activity.</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Rondinelli et al. (1987)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male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64/55–73</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Treadmill 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Does not support the hypothesis that older adults show greater bronchial reactivity to inhaled SO2 during moderate exercise than normal adolescents, although a slightly greater response was seen. Effect was short-lived, small, not life-threatening.</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Elliott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people and American adult nurses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63.1±8.9</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PA at leisure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Registros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PA was beneficial for the risk of general cardiovascular disease, myocardial infarction, stroke, and general mortality at environmental PM2.5 levels.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Kim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South Korea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people over 50 with a history of diabetes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64.7±6.2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MVPA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PM10 and 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increase in MVPA appeared to reduce the risk of diabetes in groups with high and low/moderate levels of exposure to PM10 or PM2.5 in older adults.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Babb (1997)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people with normal lung function</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68±2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Incremental test on 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CO2e and He-O2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Mechanical ventilatory limitations can attenuate the ventilatory response to intense exercise, but this attenuation is not sufficient to limit exercise capacity; all subjects showed normal exercise capacity breathing room air or 3% CO2.</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Drechsler-Parks (1995)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non-smoking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65.9±9</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Exercise on cycle ergometer or treadmill</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 and 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Healthy seniors exposed to a mixture of 0.60 ppm NO2 and 0.45 ppm O3 had a significantly lower exercise-induced increase in cardiac output compared to when the same protocol was performed with exposure to filtered air or O3 alone.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Huang et al. (2021)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Adults aged 50+ in the Global Aging and Adult Health Study in China, 2007–2010</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50/NR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Urban/rural</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 direct and negative association of residential green with hypertension prevalence for rural participants, but not urban. The association of green with hypertension was completely mediated by PM2.5 in urban areas; in rural areas mediated by PM2.5, PA and others.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Bagheri et al. (2021)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Australia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Australian seniors aged 65 and over</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65≥90*</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 one-standard deviation (1-SD) increase in NO2 and walkability score was associated with a 10% greater odds of any dementia versus no dementia.</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Babb et al. (2003)</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 runners who exercise regularly</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70.5±9.5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Incremental test on 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CO2e and He-O2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ventilatory response to exercise of senior runners was adequate to support their increased exercise capacity, and physical training did not alter the ventilatory response to exercise with He-O2 or CO2e breathing and inspired breathing.</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Cassilhas et al. (2022)</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Brazil</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Sedentary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67.85±2.34</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Exercise protocol: control (stretching), internal (treadmill walking), external (walking in the park)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UFP, PM1.0, PM2.5, PM4.0, PM10</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 Outras doenças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Indoor walking was shown to provide better cognitive and physiological outcomes than outdoor exercise.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Gong et al. (2005)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 with and without COPD</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70±9</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Submaximal exercise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 and particles concentrated in the environment (predominantly 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Healthy older adults seemed more susceptible to urban fine particulate exposure during AF, presenting with acute small airway dysfunction with impaired gas exchange. This suggests that the respiratory effect may be related to the efficient penetration and deposition of inhaled toxic particles in the small distal airways.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Liu et al. (2022)</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Residents of urban areas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63.99±9.57</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Physical activity in transport and leisure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Green spaces indirectly encourage more PA, reducing PM2.5 concentrations, thus contributing to better subjective well-being.</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Yao et al. (2022)</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Participants from county-level communities of provinces in China</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60.90±9.25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PA in general</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Rural/urban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Lower levels of PA increased the impact of environmental PM2.5 on depressive symptoms.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Wu et al. (2022)</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UK</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 with and without depressive disorders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64.1/NR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Walking and MVPA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and PM10</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 Desfechos gerais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Prolonged exposure to PM2.5 and low levels of vitamin D and physical activity were associated with an increased risk of major depressive disorder. High levels of vitamin D and physical activity may attenuate the relationship between PM2.5 and major depressive disorder in older adults.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Ran et al. (2021)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65/NR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Slow walking, stretching, traditional Chinese exercises (Luk Tung Kuen, Tuen Kam, Tai Chi), aerobic exercise (ball, uphill walk, swim, cycle, run)</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benefits of PA remain in people exposed to various levels of PM2.5, and it is recommended for people living in relatively polluted areas.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Sun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71.9±NR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Slow walking, stretching, Tai Chi/Pak Tuen Kam/Luk Tung Kuen, aerobic exercise (running, cycling, swimming, walking uphill, playing ball)</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Registros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Moderate-to-high volume of PA was associated with a lower risk of cardiovascular and respiratory mortality. PA can still be recommended for older people living in relatively more polluted areas.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Molina-Sotomayor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Chile</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Sedentary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70.1±5.3</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Resistance training</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PM10, PM2.5, NO2, O3,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 Desfechos gerais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Resistance training, even in an environment with a high concentration of pollutants, promoted benefits in the concentration of IGF-1, strength, and cognition of the older adults.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Wang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67.2±6.3</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relationship between PM2.5 and depression was mediated by outdoor PA. The relationship between depression and PA weakened with increasing PM2.5 level.</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Molina-Sotomayor et al. (2019)</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Chile</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68.9±2.85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PM10, PM2.5, NO2, O3,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 Doenças cardiovasculares; Doenças respiratórias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Planned, regular, and systematic cardiorespiratory PA had a positive influence on brain integrity and oxygen transport mechanisms, regardless of air pollution levels.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Chen et al. (2019)</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Taiwan</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70.21±3.92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NO2, CO, O3,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level of PA modified the effect of PM2.5 on the body composition of the older adults; lower levels of physical activity were associated with greater loss of muscle mass, and increase in fat mass was related to exposure to the pollutant.</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Kubesch et al. (2018)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Denmark</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Cancer-free 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56.7±4.4</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AF in leisure and transport</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long-term benefits of PA in preventing the development of infarction in healthy older adults, and possibly as effective control of the disease in patients with previous infarction, may outweigh the risks associated with increased residential exposure to traffic-related air pollution during PA.</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Endes et al. (2017)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Switzerland</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 and 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63.6±8.2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AFMV</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PM10, PM2.5, 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probability of having a higher level of arterial stiffness was significantly higher with higher levels of exposure to pollutants for inactive individuals, but not for active individuals. MVPA confers a protective effect against the adverse vascular effects of air pollution in low-pollution environments.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Andersen et al. (2015)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Denmark</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 without previous cancer diagnosis at baseline</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56.6±4.3</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AF in leisure and transport (sports, cycling, walking, gardening)</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Registros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Exposure to high levels of NO2 did not modify the inverse associations between cycling, gardening, and mortality, indicating beneficial effects of these activities on mortality.</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Kim et al. (2015)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Korea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70.6±NR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Physical exercise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NO2, O3, CO,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Outras doenças</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adverse effects of pollution on liver enzyme levels can be reduced through regular exercise.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Wong et al. (2007)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Chinese who died aged 30 or over</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73.6±13</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Exercise at leisure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 SO2, PM10, 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Registros de saúde</w:t>
            </w:r>
          </w:p>
        </w:tc>
        <w:tc>
          <w:tcPr>
            <w:tcW w:type="dxa" w:w="800"/>
            <w:shd w:fill="E7F3EA" w:val="clear"/>
            <w:tcMar>
              <w:top w:type="dxa" w:w="50"/>
              <w:left w:type="dxa" w:w="60"/>
              <w:bottom w:type="dxa" w:w="50"/>
              <w:right w:type="dxa" w:w="60"/>
            </w:tcMar>
            <w:vAlign w:val="center"/>
          </w:tcPr>
          <w:p>
            <w:r>
              <w:rPr>
                <w:b/>
                <w:bCs/>
                <w:color w:val="1F7A5C"/>
                <w:sz w:val="14"/>
                <w:szCs w:val="14"/>
              </w:rPr>
              <w:t xml:space="preserve">Benefício mantido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PA can help protect against air-pollution-induced mortality, as people who practice PA were at a lower risk of mortality from ambient air pollution than inactive people.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Zwart et al. (2018)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Netherlands</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Adults and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75.5±8.5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AF in six categories (walking outdoors, cycling, light/heavy household activities, max 2 sports)</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 NOx, PM2.5, PM10, PMcoarse</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Exposure to air pollution can negatively affect the physical performance of older adults.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Stieb et al. (2018)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Canada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Non-smoking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63.5±6.5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Light physical exercise outdoors in winter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 NO2, O3, PM2.5,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Acute subclinical effects of air pollution were observed in older adults who exercise outdoors in winter.</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Yu et al. (2017)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Retired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66.63±NR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and leisure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 Registros de saúde</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increase in PM2.5 concentration was associated with a reduction in total walking hours, leisure PA, and total PA. The PA score was negatively associated with days spent in hospital. The higher the PA level, the fewer days in the hospital.</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Stieb et al. (2017)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Canada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 non-smokers, not exposed to tobacco, without seasonal allergies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64±5.5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Light physical exercise outdoors in winter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 NO2, O3, PM2.5,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Rural</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Acute adverse cardiorespiratory effects were observed in rural older adults who exercise outdoors when air pollution levels are particularly high.</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Salicio et al. (2016)</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Brazil</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 exercisers, healthy and non-smokers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68.8±4.7</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Physical exercise outdoors</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 and 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Older people suffered environmental influences altering levels of exhaled CO, carboxyhemoglobin, and heart rate during exercise.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Alahmari et al. (2015)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England</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people with COPD and healthy individuals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71.1±8.7</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PM10 and 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Increased O3 and PM10 exposure was associated with reduced physical activity levels in COPD patients.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Delfino et al. (2011)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Retired older adults, diagnosed with CAD and non-smokers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65 years or older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organic carbon, elementary carbon, black carbon, O3, NO2, NOx, CO</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results suggest that the primary products of fossil fuel combustion carry an increased risk of myocardial ischemia. The AF measured by the actigraph was not able to change the findings of the effect of pollutants on the ST segment.</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Delfino et al. (2010)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Retired older adults, diagnosed with CAD and non-smokers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84±5.6</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Black carbon, organic carbon, PM2.5, NOx, CO, O3, total number of particles</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Moderate-to-strenuous exertion (daily and actigraph) was correlated with increased systolic and diastolic BP. AF was not associated with attenuation of the effects of pollution. There was a greater association between pollutants and increased PA in participants with obesity.</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Lanki et al. (2008)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Finland</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Non-smoking seniors with coronary heart disease</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68±7</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Submaximal exercise test on an exercise bike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An increased risk of exercise-induced cardiac ischemia was observed in association with hourly variation in personal exposure to PM2.5 and outdoor levels in the 24 h prior to the exercise test.</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Lanki et al. (2006)</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Finland</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 non-smokers and those diagnosed with CAD</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68.2±6.5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Submaximal exercise test on 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 fraction of PM from combustion processes, notably from traffic, may be responsible for the effect observed in exercise-induced ischemic heart disease on days with high air pollution.</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Gold et al. (2005)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73±NR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Outdoor 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black carbon, CO</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ST-segment depression, possibly representing myocardial ischemia or inflammation, had stronger effects in the post-exercise periods associated with increased exposure to particles whose predominant source was traffic.</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DeMeo et al. (2004)</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73.3±NR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Outdoor 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CO, O3, NO2,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 statistically significant effect of ambient particulate air pollution on decreasing resting (post-exercise) oxygen saturation in an older adult population was demonstrated. Decreased oxygen saturation associated with air pollution may result from subtle particle-related pulmonary vascular and/or inflammatory changes.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Gong et al. (2004)</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 with and without COPD</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70.5±9.5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Submaximal exercise on 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 NO2, O3, SO2, PM10</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Older adult volunteers without clinically cardiopulmonary disease were more vulnerable to factors related to autonomic control of the heart, inflammatory mediators, and circulating blood clotting factors when exposed to the fine effects of PM immediately after performing intermittent exercise than people of a similar age with COPD.</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Pekkanen et al. (2002)</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Netherlands</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Non-smoking older adults diagnosed with stable CAD</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68.2±6.5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Submaximal exercise test on 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 and 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An association was observed between air pollution by fine and ultrafine particles and the risk of exercise-induced ST-segment depression in older people with CAD.</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Gold et al. (2000)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73.3±NR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Outdoor 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PM10, O3, CO, NO2,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Exposure to particulate matter and ozone can decrease vagal tone, resulting in reduced heart rate variability, both before and during a PA protocol.</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Allred et al. (1989)</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Men with CAD</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62±1</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Incremental treadmill test</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An effect of CO on myocardial ischemia was objectively demonstrated by electrocardiographic changes during exercise. CO exposures produced carboxyhemoglobin levels of 2% and 3.9%. Low levels of carboxyhemoglobin exacerbated myocardial ischemia during graded exercise in individuals with CAD.</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Reisenauer et al. (1988)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64.6±6.36</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Incremental intermittent exercise on treadmill</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There was an increased risk of changes in lung function at close to ambient levels after exposure to O3 during exercise in healthy older adult subjects.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Drechsler-Parks et al. (1987)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non-smokers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62.85±6.2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C0504D"/>
                <w:sz w:val="14"/>
                <w:szCs w:val="14"/>
              </w:rPr>
              <w:t xml:space="preserve">Risco encontrado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O3 exposure induced significant decreases in forced vital capacity and forced expiratory volume at 1 and 3 s post-exposure compared with pre-exposure during exercise to induce minute ventilation.</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Ao et al. (2022)</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Seniors from five provinces in southwest China</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60.54±7.50</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AF</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PM10, PM2.5, PM1.0</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For the prevention of type 2 diabetes in the older adults, the health benefits of PA may outweigh the harm caused by air pollution, except in extreme air pollution situations, and PA levels should not exceed 40 MET-h/d when air quality is severe.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Stieb et al. (2021)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Canada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NR/55–81</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Daily light PA (e.g., walking)</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CO, NO2, O3, PM2.5, SO2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 Doenças respiratórias; Desfechos gerais de saúde</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Associations between air pollution and weekly pre-exercise heart rate and heart rate variability, and urinary malonaldehyde, were consistently stronger in the group that performed outdoor PA (1.4% increase in heart rate). These differences cannot plausibly be attributed to the intervention (only two days).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Besser et al. (2021)</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American seniors without dementia</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67±8</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Reported moderate/vigorous activities achieved by any means</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Depressive symptoms, total PA per week and exposure to PM2.5 did not mediate the association between proportion of park space and global cognition.</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Zhou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China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Lived in Guangzhou for more than 6 months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60/NR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External (urban/rural/commercial)</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 Transtornos mentais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Neighborhood green has a positive association with PA in the older adults, linked to their physical health. No significant relationship between PA and the investigated PM2.5.</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Roe et al. (2020)</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adults/American seniors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64.8±NR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Walk on two routes: urban green and urban gray</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Walking on a green route (lower pollution) provided more well-being benefits, while walking on a gray area (higher pollution) increased a physiological stress factor.</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Nuyts et al. (2019)</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Belgium</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58–76*</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Pollution had a negative effect on positive affect when average daily steps were low. Moderate PA attenuated the effect of NO2 on positive affect. Short-term NO2 exposure can produce non-pathological mood changes in healthy older people.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Balmes et al. (2019)</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non-smoking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59.9±4.5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Moderate intermittent physical exercise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Outras doenças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Exposure to low-level O3 during exercise in healthy older adults had no effects on systemic inflammation, oxidative stress, or prothrombotic status.</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Rich et al. (2018)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seniors and non-smokers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59.9±4.5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Moderate intermittent physical exercise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No convincing evidence for acute effects at random 3-hour exposures to 0.70 and 120 ppb O3 alternating 15 min moderate exercise with 15 min rest on cardiovascular function.</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Sinharay et al. (2018)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England</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people with ischemic heart disease or COPD and healthy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65.4±1.2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PM10, carbon black, NO2, ultrafine particles</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COPD patients reported more coughing, sputum, shortness of breath and wheezing after walking on the most polluted road. Walking in Hyde Park generated beneficial cardiopulmonary responses, mitigated after the walk on Oxford Street.</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Arjomandi et al. (2018)</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non-smoking older adults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59.9±4.5</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Walk</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O3 exposure attenuated the effects of exercise on lung function and minute ventilation, caused a marginally significant increase in airway inflammatory markers, and increased plasma levels of a marker of airway epithelial injury.</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Dewulf et al. (2016)</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Belgium</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Older adult residents of Ghent</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61.7±NR</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AF in transport - walking and cycling</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Cycling resulted in the highest inhaled dose of NO2 compared to other transport modes, but daily cycling proportion was low, so its influence on total inhaled NO2 is small.</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Bartell et al. (2013)</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Non-smoking older adults diagnosed with CAD</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83.3±5.9</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General PA</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PM2.5, black carbon, O3, CO, NOx, elemental carbon, organic carbon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Open</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Urban</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Particle exposures may increase the risk of ventricular tachycardia in CAD patients. Heart rate variability was not associated with exposure in most participants; evidence of effects on PA measures was limited and inconclusive.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Drechsler-Parks (1995)</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non-smoking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65.3±4.12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Treadmill exercise</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No significant differences between responses to three O3 exposures during treadmill walking. Small but significant decreases in forced vital capacity and forced expiratory volume, suggesting possible saturation of the pulmonary response mechanism in older men.</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Bedi et al. (1989)</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non-smoking volunteers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67.9±6.6</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Exercise on cycle ergometer or treadmill</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O3</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No significant changes in symptom questions despite a three-fold increase in symptoms reported during O3 exposure. An adaptive response was observed on the third day of exposure that persisted through 72 hours of non-exposure.</w:t>
            </w:r>
          </w:p>
        </w:tc>
      </w:tr>
      <w:tr>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Artigo original (2023)</w:t>
            </w:r>
          </w:p>
        </w:tc>
        <w:tc>
          <w:tcPr>
            <w:tcW w:type="dxa" w:w="1300"/>
            <w:shd w:fill="E7F3EA" w:val="clear"/>
            <w:tcMar>
              <w:top w:type="dxa" w:w="50"/>
              <w:left w:type="dxa" w:w="60"/>
              <w:bottom w:type="dxa" w:w="50"/>
              <w:right w:type="dxa" w:w="60"/>
            </w:tcMar>
            <w:vAlign w:val="center"/>
          </w:tcPr>
          <w:p>
            <w:r>
              <w:rPr>
                <w:b w:val="false"/>
                <w:bCs w:val="false"/>
                <w:color w:val="222222"/>
                <w:sz w:val="14"/>
                <w:szCs w:val="14"/>
              </w:rPr>
              <w:t xml:space="preserve">Drechsler-Parks et al. (1987)</w:t>
            </w:r>
          </w:p>
        </w:tc>
        <w:tc>
          <w:tcPr>
            <w:tcW w:type="dxa" w:w="800"/>
            <w:shd w:fill="E7F3EA" w:val="clear"/>
            <w:tcMar>
              <w:top w:type="dxa" w:w="50"/>
              <w:left w:type="dxa" w:w="60"/>
              <w:bottom w:type="dxa" w:w="50"/>
              <w:right w:type="dxa" w:w="60"/>
            </w:tcMar>
            <w:vAlign w:val="center"/>
          </w:tcPr>
          <w:p>
            <w:r>
              <w:rPr>
                <w:b w:val="false"/>
                <w:bCs w:val="false"/>
                <w:color w:val="222222"/>
                <w:sz w:val="14"/>
                <w:szCs w:val="14"/>
              </w:rPr>
              <w:t xml:space="preserve">USA</w:t>
            </w:r>
          </w:p>
        </w:tc>
        <w:tc>
          <w:tcPr>
            <w:tcW w:type="dxa" w:w="2100"/>
            <w:shd w:fill="E7F3EA" w:val="clear"/>
            <w:tcMar>
              <w:top w:type="dxa" w:w="50"/>
              <w:left w:type="dxa" w:w="60"/>
              <w:bottom w:type="dxa" w:w="50"/>
              <w:right w:type="dxa" w:w="60"/>
            </w:tcMar>
            <w:vAlign w:val="center"/>
          </w:tcPr>
          <w:p>
            <w:r>
              <w:rPr>
                <w:b w:val="false"/>
                <w:bCs w:val="false"/>
                <w:color w:val="222222"/>
                <w:sz w:val="14"/>
                <w:szCs w:val="14"/>
              </w:rPr>
              <w:t xml:space="preserve">Healthy non-smokers</w:t>
            </w:r>
          </w:p>
        </w:tc>
        <w:tc>
          <w:tcPr>
            <w:tcW w:type="dxa" w:w="650"/>
            <w:shd w:fill="E7F3EA" w:val="clear"/>
            <w:tcMar>
              <w:top w:type="dxa" w:w="50"/>
              <w:left w:type="dxa" w:w="60"/>
              <w:bottom w:type="dxa" w:w="50"/>
              <w:right w:type="dxa" w:w="60"/>
            </w:tcMar>
            <w:vAlign w:val="center"/>
          </w:tcPr>
          <w:p>
            <w:r>
              <w:rPr>
                <w:b w:val="false"/>
                <w:bCs w:val="false"/>
                <w:color w:val="222222"/>
                <w:sz w:val="14"/>
                <w:szCs w:val="14"/>
              </w:rPr>
              <w:t xml:space="preserve">62.8±6.2</w:t>
            </w:r>
          </w:p>
        </w:tc>
        <w:tc>
          <w:tcPr>
            <w:tcW w:type="dxa" w:w="400"/>
            <w:shd w:fill="E7F3EA" w:val="clear"/>
            <w:tcMar>
              <w:top w:type="dxa" w:w="50"/>
              <w:left w:type="dxa" w:w="60"/>
              <w:bottom w:type="dxa" w:w="50"/>
              <w:right w:type="dxa" w:w="60"/>
            </w:tcMar>
            <w:vAlign w:val="center"/>
          </w:tcPr>
          <w:p>
            <w:r>
              <w:rPr>
                <w:b w:val="false"/>
                <w:bCs w:val="false"/>
                <w:color w:val="222222"/>
                <w:sz w:val="14"/>
                <w:szCs w:val="14"/>
              </w:rPr>
              <w:t xml:space="preserve">♀♂</w:t>
            </w:r>
          </w:p>
        </w:tc>
        <w:tc>
          <w:tcPr>
            <w:tcW w:type="dxa" w:w="1350"/>
            <w:shd w:fill="E7F3EA" w:val="clear"/>
            <w:tcMar>
              <w:top w:type="dxa" w:w="50"/>
              <w:left w:type="dxa" w:w="60"/>
              <w:bottom w:type="dxa" w:w="50"/>
              <w:right w:type="dxa" w:w="60"/>
            </w:tcMar>
            <w:vAlign w:val="center"/>
          </w:tcPr>
          <w:p>
            <w:r>
              <w:rPr>
                <w:b w:val="false"/>
                <w:bCs w:val="false"/>
                <w:color w:val="222222"/>
                <w:sz w:val="14"/>
                <w:szCs w:val="14"/>
              </w:rPr>
              <w:t xml:space="preserve">Cycle ergometer</w:t>
            </w:r>
          </w:p>
        </w:tc>
        <w:tc>
          <w:tcPr>
            <w:tcW w:type="dxa" w:w="1150"/>
            <w:shd w:fill="E7F3EA" w:val="clear"/>
            <w:tcMar>
              <w:top w:type="dxa" w:w="50"/>
              <w:left w:type="dxa" w:w="60"/>
              <w:bottom w:type="dxa" w:w="50"/>
              <w:right w:type="dxa" w:w="60"/>
            </w:tcMar>
            <w:vAlign w:val="center"/>
          </w:tcPr>
          <w:p>
            <w:r>
              <w:rPr>
                <w:b w:val="false"/>
                <w:bCs w:val="false"/>
                <w:color w:val="222222"/>
                <w:sz w:val="14"/>
                <w:szCs w:val="14"/>
              </w:rPr>
              <w:t xml:space="preserve">NO2</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Closed</w:t>
            </w:r>
          </w:p>
        </w:tc>
        <w:tc>
          <w:tcPr>
            <w:tcW w:type="dxa" w:w="550"/>
            <w:shd w:fill="E7F3EA" w:val="clear"/>
            <w:tcMar>
              <w:top w:type="dxa" w:w="50"/>
              <w:left w:type="dxa" w:w="60"/>
              <w:bottom w:type="dxa" w:w="50"/>
              <w:right w:type="dxa" w:w="60"/>
            </w:tcMar>
            <w:vAlign w:val="center"/>
          </w:tcPr>
          <w:p>
            <w:r>
              <w:rPr>
                <w:b w:val="false"/>
                <w:bCs w:val="false"/>
                <w:color w:val="222222"/>
                <w:sz w:val="14"/>
                <w:szCs w:val="14"/>
              </w:rPr>
              <w:t xml:space="preserve">NR</w:t>
            </w:r>
          </w:p>
        </w:tc>
        <w:tc>
          <w:tcPr>
            <w:tcW w:type="dxa" w:w="1200"/>
            <w:shd w:fill="E7F3EA" w:val="clear"/>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shd w:fill="E7F3EA" w:val="clear"/>
            <w:tcMar>
              <w:top w:type="dxa" w:w="50"/>
              <w:left w:type="dxa" w:w="60"/>
              <w:bottom w:type="dxa" w:w="50"/>
              <w:right w:type="dxa" w:w="60"/>
            </w:tcMar>
            <w:vAlign w:val="center"/>
          </w:tcPr>
          <w:p>
            <w:r>
              <w:rPr>
                <w:b/>
                <w:bCs/>
                <w:color w:val="8C8C6D"/>
                <w:sz w:val="14"/>
                <w:szCs w:val="14"/>
              </w:rPr>
              <w:t xml:space="preserve">Ambíguo</w:t>
            </w:r>
          </w:p>
        </w:tc>
        <w:tc>
          <w:tcPr>
            <w:tcW w:type="dxa" w:w="3398"/>
            <w:shd w:fill="E7F3EA" w:val="clear"/>
            <w:tcMar>
              <w:top w:type="dxa" w:w="50"/>
              <w:left w:type="dxa" w:w="60"/>
              <w:bottom w:type="dxa" w:w="50"/>
              <w:right w:type="dxa" w:w="60"/>
            </w:tcMar>
            <w:vAlign w:val="center"/>
          </w:tcPr>
          <w:p>
            <w:r>
              <w:rPr>
                <w:b w:val="false"/>
                <w:bCs w:val="false"/>
                <w:color w:val="222222"/>
                <w:sz w:val="14"/>
                <w:szCs w:val="14"/>
              </w:rPr>
              <w:t xml:space="preserve">No statistically significant differences between responses of men and women aged 55+ to filtered air or NO2 exposure, in forced vital capacity and heart rate during exercise.</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Xie H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17.138 adultos de meia-idade e idosos, CHARLS onda 2018</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MVPA por IPAQ</w:t>
            </w:r>
          </w:p>
        </w:tc>
        <w:tc>
          <w:tcPr>
            <w:tcW w:type="dxa" w:w="1150"/>
            <w:tcMar>
              <w:top w:type="dxa" w:w="50"/>
              <w:left w:type="dxa" w:w="60"/>
              <w:bottom w:type="dxa" w:w="50"/>
              <w:right w:type="dxa" w:w="60"/>
            </w:tcMar>
            <w:vAlign w:val="center"/>
          </w:tcPr>
          <w:p>
            <w:r>
              <w:rPr>
                <w:b w:val="false"/>
                <w:bCs w:val="false"/>
                <w:color w:val="222222"/>
                <w:sz w:val="14"/>
                <w:szCs w:val="14"/>
              </w:rPr>
              <w:t xml:space="preserve">PM, SO2, O3, NO2, CO, AQI</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atividade física moderada a vigorosa associa-se a menor prevalência de doença cardiovascular sob exposição a poluentes do ar, mas esse efeito protetor só se confirma entre homens; a atividade física medeia parcialmente a relação entre poluição e a prevalência de doença cardiovascular em ambos os sexos.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Yu Z (2026)</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12.196 adultos ≥45 anos, CHARLS 2011-2020 (5 ondas)</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PM2.5 (incluindo sulfato e carbono negro)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atividade física amortece o declínio cognitivo associado à exposição a PM2,5, com efeito protetor mais pronunciado contra sulfato e carbono negro; cerca de 13 minutos diários de atividade física compensam o impacto cognitivo de um aumento de 10 µg/m³ em PM2,5.</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Xie H (2026)</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18.640 adultos de meia-idade e idosos, CHARLS onda 2018</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IPAQ</w:t>
            </w:r>
          </w:p>
        </w:tc>
        <w:tc>
          <w:tcPr>
            <w:tcW w:type="dxa" w:w="1150"/>
            <w:tcMar>
              <w:top w:type="dxa" w:w="50"/>
              <w:left w:type="dxa" w:w="60"/>
              <w:bottom w:type="dxa" w:w="50"/>
              <w:right w:type="dxa" w:w="60"/>
            </w:tcMar>
            <w:vAlign w:val="center"/>
          </w:tcPr>
          <w:p>
            <w:r>
              <w:rPr>
                <w:b w:val="false"/>
                <w:bCs w:val="false"/>
                <w:color w:val="222222"/>
                <w:sz w:val="14"/>
                <w:szCs w:val="14"/>
              </w:rPr>
              <w:t xml:space="preserve">Poluição do ar interior por uso de combustível sólido (carvão, biomassa/lenha) vs. energia limpa</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atividade física associa-se a menor prevalência de doença cardiovascular em usuários de todos os tipos de combustível sólido entre homens, mas entre mulheres esse benefício só se confirma com energia limpa ou resíduos de colheita/lenha, evidenciando padrão de proteção sexo-específico.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Gao C (2026)</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3.352 participantes ≥50 anos, CHARLS 2018</w:t>
            </w:r>
          </w:p>
        </w:tc>
        <w:tc>
          <w:tcPr>
            <w:tcW w:type="dxa" w:w="650"/>
            <w:tcMar>
              <w:top w:type="dxa" w:w="50"/>
              <w:left w:type="dxa" w:w="60"/>
              <w:bottom w:type="dxa" w:w="50"/>
              <w:right w:type="dxa" w:w="60"/>
            </w:tcMar>
            <w:vAlign w:val="center"/>
          </w:tcPr>
          <w:p>
            <w:r>
              <w:rPr>
                <w:b w:val="false"/>
                <w:bCs w:val="false"/>
                <w:color w:val="222222"/>
                <w:sz w:val="14"/>
                <w:szCs w:val="14"/>
              </w:rPr>
              <w:t xml:space="preserve">≥50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Nível de AF por MET·h/semana (≥23 vs &lt;23)</w:t>
            </w:r>
          </w:p>
        </w:tc>
        <w:tc>
          <w:tcPr>
            <w:tcW w:type="dxa" w:w="1150"/>
            <w:tcMar>
              <w:top w:type="dxa" w:w="50"/>
              <w:left w:type="dxa" w:w="60"/>
              <w:bottom w:type="dxa" w:w="50"/>
              <w:right w:type="dxa" w:w="60"/>
            </w:tcMar>
            <w:vAlign w:val="center"/>
          </w:tcPr>
          <w:p>
            <w:r>
              <w:rPr>
                <w:b w:val="false"/>
                <w:bCs w:val="false"/>
                <w:color w:val="222222"/>
                <w:sz w:val="14"/>
                <w:szCs w:val="14"/>
              </w:rPr>
              <w:t xml:space="preserve">NR (satisfação subjetiva com qualidade do ar, não poluente específico)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Maior atividade física e melhor satisfação subjetiva com a qualidade do ar associam-se, de forma independente, a menor risco de asma em idosos chineses, sugerindo que a prática de AF permanece benéfica mesmo em contexto de percepção de poluição.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Das S (2026)</w:t>
            </w:r>
          </w:p>
        </w:tc>
        <w:tc>
          <w:tcPr>
            <w:tcW w:type="dxa" w:w="800"/>
            <w:tcMar>
              <w:top w:type="dxa" w:w="50"/>
              <w:left w:type="dxa" w:w="60"/>
              <w:bottom w:type="dxa" w:w="50"/>
              <w:right w:type="dxa" w:w="60"/>
            </w:tcMar>
            <w:vAlign w:val="center"/>
          </w:tcPr>
          <w:p>
            <w:r>
              <w:rPr>
                <w:b w:val="false"/>
                <w:bCs w:val="false"/>
                <w:color w:val="222222"/>
                <w:sz w:val="14"/>
                <w:szCs w:val="14"/>
              </w:rPr>
              <w:t xml:space="preserve">Índia</w:t>
            </w:r>
          </w:p>
        </w:tc>
        <w:tc>
          <w:tcPr>
            <w:tcW w:type="dxa" w:w="2100"/>
            <w:tcMar>
              <w:top w:type="dxa" w:w="50"/>
              <w:left w:type="dxa" w:w="60"/>
              <w:bottom w:type="dxa" w:w="50"/>
              <w:right w:type="dxa" w:w="60"/>
            </w:tcMar>
            <w:vAlign w:val="center"/>
          </w:tcPr>
          <w:p>
            <w:r>
              <w:rPr>
                <w:b w:val="false"/>
                <w:bCs w:val="false"/>
                <w:color w:val="222222"/>
                <w:sz w:val="14"/>
                <w:szCs w:val="14"/>
              </w:rPr>
              <w:t xml:space="preserve">31.902 adultos ≥60 anos, LASI Onda 1</w:t>
            </w:r>
          </w:p>
        </w:tc>
        <w:tc>
          <w:tcPr>
            <w:tcW w:type="dxa" w:w="650"/>
            <w:tcMar>
              <w:top w:type="dxa" w:w="50"/>
              <w:left w:type="dxa" w:w="60"/>
              <w:bottom w:type="dxa" w:w="50"/>
              <w:right w:type="dxa" w:w="60"/>
            </w:tcMar>
            <w:vAlign w:val="center"/>
          </w:tcPr>
          <w:p>
            <w:r>
              <w:rPr>
                <w:b w:val="false"/>
                <w:bCs w:val="false"/>
                <w:color w:val="222222"/>
                <w:sz w:val="14"/>
                <w:szCs w:val="14"/>
              </w:rPr>
              <w:t xml:space="preserve">≥60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Autorrelato de atividade moderada/vigorosa ou práticas de ioga</w:t>
            </w:r>
          </w:p>
        </w:tc>
        <w:tc>
          <w:tcPr>
            <w:tcW w:type="dxa" w:w="1150"/>
            <w:tcMar>
              <w:top w:type="dxa" w:w="50"/>
              <w:left w:type="dxa" w:w="60"/>
              <w:bottom w:type="dxa" w:w="50"/>
              <w:right w:type="dxa" w:w="60"/>
            </w:tcMar>
            <w:vAlign w:val="center"/>
          </w:tcPr>
          <w:p>
            <w:r>
              <w:rPr>
                <w:b w:val="false"/>
                <w:bCs w:val="false"/>
                <w:color w:val="222222"/>
                <w:sz w:val="14"/>
                <w:szCs w:val="14"/>
              </w:rPr>
              <w:t xml:space="preserve">Poluição do ar interior (tipo de combustível, fogão, local de cozinha, ventilação)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atividade física associa-se a melhor desempenho cognitivo e a poluição do ar interior a pior desempenho, mas apenas entre mulheres a exposição à poluição doméstica reduz substancialmente os benefícios cognitivos da AF, padrão não observado entre homens.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Wang W (2026)</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16.954 participantes ≥65 anos, Chinese Longitudinal Healthy Longevity Survey 2008-2014, 23 províncias</w:t>
            </w:r>
          </w:p>
        </w:tc>
        <w:tc>
          <w:tcPr>
            <w:tcW w:type="dxa" w:w="650"/>
            <w:tcMar>
              <w:top w:type="dxa" w:w="50"/>
              <w:left w:type="dxa" w:w="60"/>
              <w:bottom w:type="dxa" w:w="50"/>
              <w:right w:type="dxa" w:w="60"/>
            </w:tcMar>
            <w:vAlign w:val="center"/>
          </w:tcPr>
          <w:p>
            <w:r>
              <w:rPr>
                <w:b w:val="false"/>
                <w:bCs w:val="false"/>
                <w:color w:val="222222"/>
                <w:sz w:val="14"/>
                <w:szCs w:val="14"/>
              </w:rPr>
              <w:t xml:space="preserve">≥65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Hábitos de exercício autorrelatados</w:t>
            </w:r>
          </w:p>
        </w:tc>
        <w:tc>
          <w:tcPr>
            <w:tcW w:type="dxa" w:w="1150"/>
            <w:tcMar>
              <w:top w:type="dxa" w:w="50"/>
              <w:left w:type="dxa" w:w="60"/>
              <w:bottom w:type="dxa" w:w="50"/>
              <w:right w:type="dxa" w:w="60"/>
            </w:tcMar>
            <w:vAlign w:val="center"/>
          </w:tcPr>
          <w:p>
            <w:r>
              <w:rPr>
                <w:b w:val="false"/>
                <w:bCs w:val="false"/>
                <w:color w:val="222222"/>
                <w:sz w:val="14"/>
                <w:szCs w:val="14"/>
              </w:rPr>
              <w:t xml:space="preserve">Indicadores de poluição industrial em nível de condado (fuligem e SO2)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Hábitos de exercício associam-se a menor mortalidade por todas as causas entre idosos chineses, associação que se mantém robusta independentemente do nível de poluição industrial do condado, sem interação estatisticamente significativa entre exercício e poluição.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Zhao Q (2024)</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17.332 participantes ≥45 anos, CHARLS onda 2018</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Questionário padronizado (AF baixa/alta)</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 NO2, SO2, O3, CO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Todos os poluentes do ar associam-se de forma adversa a sintomas depressivos, mas níveis mais elevados de atividade física atenuam significativamente esse efeito adverso da poluição sobre os sintomas depressivos.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Dong X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10.561 participantes, CHARLS 2011-2020</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IPAQ (anos de AF suficiente)</w:t>
            </w:r>
          </w:p>
        </w:tc>
        <w:tc>
          <w:tcPr>
            <w:tcW w:type="dxa" w:w="1150"/>
            <w:tcMar>
              <w:top w:type="dxa" w:w="50"/>
              <w:left w:type="dxa" w:w="60"/>
              <w:bottom w:type="dxa" w:w="50"/>
              <w:right w:type="dxa" w:w="60"/>
            </w:tcMar>
            <w:vAlign w:val="center"/>
          </w:tcPr>
          <w:p>
            <w:r>
              <w:rPr>
                <w:b w:val="false"/>
                <w:bCs w:val="false"/>
                <w:color w:val="222222"/>
                <w:sz w:val="14"/>
                <w:szCs w:val="14"/>
              </w:rPr>
              <w:t xml:space="preserve">Poluição do ar doméstica (combustíveis sólidos vs. limpos para cozinhar/aquecer)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Manter atividade física suficiente por três anos ou mais associa-se a menor risco de fragilidade e potencializa os benefícios da transição de combustíveis domésticos sólidos para mais limpos, compensando os efeitos adversos da poluição do ar doméstica.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Zhang C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2.600 idosos chineses não diabéticos</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IPAQ</w:t>
            </w:r>
          </w:p>
        </w:tc>
        <w:tc>
          <w:tcPr>
            <w:tcW w:type="dxa" w:w="1150"/>
            <w:tcMar>
              <w:top w:type="dxa" w:w="50"/>
              <w:left w:type="dxa" w:w="60"/>
              <w:bottom w:type="dxa" w:w="50"/>
              <w:right w:type="dxa" w:w="60"/>
            </w:tcMar>
            <w:vAlign w:val="center"/>
          </w:tcPr>
          <w:p>
            <w:r>
              <w:rPr>
                <w:b w:val="false"/>
                <w:bCs w:val="false"/>
                <w:color w:val="222222"/>
                <w:sz w:val="14"/>
                <w:szCs w:val="14"/>
              </w:rPr>
              <w:t xml:space="preserve">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prolongada a dióxido de nitrogênio atenua ou até reverte o efeito benéfico da atividade física sobre a glicemia de jejum em idosos não diabéticos, com limiar de reversão em torno de 33 µg/m³ de NO2.</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Li X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20.930 participantes, CHARLS 2011-2020 (11.214 p/ depressão; 16.965 p/ glaucoma)</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Questionário padronizado (volume e intensidade de AF)</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Em áreas com baixa exposição a PM2,5, maior volume ou intensidade de atividade física associa-se a menor risco de sintomas depressivos, mas em áreas com alta exposição (≥35 µg/m³) maior atividade física aumenta o risco de sintomas depressivos e de glaucoma.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Hao J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39.970 adultos 35-70 anos, coorte PURE-China</w:t>
            </w:r>
          </w:p>
        </w:tc>
        <w:tc>
          <w:tcPr>
            <w:tcW w:type="dxa" w:w="650"/>
            <w:tcMar>
              <w:top w:type="dxa" w:w="50"/>
              <w:left w:type="dxa" w:w="60"/>
              <w:bottom w:type="dxa" w:w="50"/>
              <w:right w:type="dxa" w:w="60"/>
            </w:tcMar>
            <w:vAlign w:val="center"/>
          </w:tcPr>
          <w:p>
            <w:r>
              <w:rPr>
                <w:b w:val="false"/>
                <w:bCs w:val="false"/>
                <w:color w:val="222222"/>
                <w:sz w:val="14"/>
                <w:szCs w:val="14"/>
              </w:rPr>
              <w:t xml:space="preserve">35-70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MET-minutos/semana (questionário, recreativa e não recreativa)</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atividade física reduz o risco de mortalidade e de eventos cardiovasculares maiores em áreas de baixa exposição a PM2,5, mas esse efeito protetor desaparece em regiões de alta exposição, com interação antagônica significativa para atividade física não recreativa.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Fang Z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13.573 participantes, CHARLS</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Maior exposição a PM1, PM2,5 e PM10 eleva significativamente o risco de acidente vascular cerebral, com associação mais forte entre indivíduos fisicamente inativos; a atividade física medeia cerca de 19,6% do efeito nocivo do PM2,5 sobre o risco de AVC.</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Li W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Adultos de meia-idade e idosos, CHARLS e ChinaHighAirPollutants</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Os benefícios cardiovasculares de níveis elevados de atividade física mitigam os efeitos deletérios da exposição a PM2,5; a exposição prolongada a PM2,5 aumentou o risco de doença cardiovascular apenas entre participantes com AF baixa a moderada, não entre os com AF alta.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Küçükali H (2025)</w:t>
            </w:r>
          </w:p>
        </w:tc>
        <w:tc>
          <w:tcPr>
            <w:tcW w:type="dxa" w:w="800"/>
            <w:tcMar>
              <w:top w:type="dxa" w:w="50"/>
              <w:left w:type="dxa" w:w="60"/>
              <w:bottom w:type="dxa" w:w="50"/>
              <w:right w:type="dxa" w:w="60"/>
            </w:tcMar>
            <w:vAlign w:val="center"/>
          </w:tcPr>
          <w:p>
            <w:r>
              <w:rPr>
                <w:b w:val="false"/>
                <w:bCs w:val="false"/>
                <w:color w:val="222222"/>
                <w:sz w:val="14"/>
                <w:szCs w:val="14"/>
              </w:rPr>
              <w:t xml:space="preserve">Reino Unido (Irlanda do Norte)</w:t>
            </w:r>
          </w:p>
        </w:tc>
        <w:tc>
          <w:tcPr>
            <w:tcW w:type="dxa" w:w="2100"/>
            <w:tcMar>
              <w:top w:type="dxa" w:w="50"/>
              <w:left w:type="dxa" w:w="60"/>
              <w:bottom w:type="dxa" w:w="50"/>
              <w:right w:type="dxa" w:w="60"/>
            </w:tcMar>
            <w:vAlign w:val="center"/>
          </w:tcPr>
          <w:p>
            <w:r>
              <w:rPr>
                <w:b w:val="false"/>
                <w:bCs w:val="false"/>
                <w:color w:val="222222"/>
                <w:sz w:val="14"/>
                <w:szCs w:val="14"/>
              </w:rPr>
              <w:t xml:space="preserve">2.836 participantes, Northern Ireland Cohort for the Longitudinal Study of Ageing (NICOLA)</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MVPA recreativa autorrelatada (minutos/semana)</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Observou-se sugestão de interação sinérgica (aditiva e multiplicativa) entre alta exposição a PM2,5 e baixa atividade física moderada-vigorosa sobre o declínio cognitivo, mas as estimativas carecem de precisão estatística, tornando o achado não conclusivo.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Gan YY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6.433 indivíduos ≥45 anos, CHARLS</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Fragilidade e poluição do ar elevam sinergicamente o risco de doença cardiovascular; embora a AF esteja associada a menor risco cardiovascular, ela não neutraliza o dano combinado de fragilidade e poluição elevada.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Chen Y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11.875 adultos ≥45 anos</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(fisicamente ativo vs. não ativo)</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 O3, 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Maiores concentrações de poluentes atmosféricos aumentam o risco de depressão e de incapacidade funcional comórbida, mas indivíduos fisicamente ativos apresentam risco significativamente reduzido dessa comorbidade em comparação aos inativos.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Zhu L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17.734 participantes ≥45 anos, CHARLS onda 2018</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(níveis de AF estratificados)</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 NO2, SO2, O3</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Todos os poluentes atmosféricos associam-se a pior função cognitiva, mas níveis mais elevados de atividade física moderam significativamente essa associação, sugerindo efeito protetor da AF contra os danos cognitivos da poluição.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Xu W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17.708 adultos de meia-idade e idosos, CHARLS 2013</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IPAQ (leve, moderada, vigorosa)</w:t>
            </w:r>
          </w:p>
        </w:tc>
        <w:tc>
          <w:tcPr>
            <w:tcW w:type="dxa" w:w="1150"/>
            <w:tcMar>
              <w:top w:type="dxa" w:w="50"/>
              <w:left w:type="dxa" w:w="60"/>
              <w:bottom w:type="dxa" w:w="50"/>
              <w:right w:type="dxa" w:w="60"/>
            </w:tcMar>
            <w:vAlign w:val="center"/>
          </w:tcPr>
          <w:p>
            <w:r>
              <w:rPr>
                <w:b w:val="false"/>
                <w:bCs w:val="false"/>
                <w:color w:val="222222"/>
                <w:sz w:val="14"/>
                <w:szCs w:val="14"/>
              </w:rPr>
              <w:t xml:space="preserve">CO, O3, 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hepáticas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Maiores níveis de CO, ozônio e NO2 associam-se a maior risco de doença hepática crônica, mas níveis crescentes de atividade física atenuam essa associação, com interações significativas para os três poluentes.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Wang H (2024)</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3.408 idosos rurais chineses</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IPAQ</w:t>
            </w:r>
          </w:p>
        </w:tc>
        <w:tc>
          <w:tcPr>
            <w:tcW w:type="dxa" w:w="1150"/>
            <w:tcMar>
              <w:top w:type="dxa" w:w="50"/>
              <w:left w:type="dxa" w:w="60"/>
              <w:bottom w:type="dxa" w:w="50"/>
              <w:right w:type="dxa" w:w="60"/>
            </w:tcMar>
            <w:vAlign w:val="center"/>
          </w:tcPr>
          <w:p>
            <w:r>
              <w:rPr>
                <w:b w:val="false"/>
                <w:bCs w:val="false"/>
                <w:color w:val="222222"/>
                <w:sz w:val="14"/>
                <w:szCs w:val="14"/>
              </w:rPr>
              <w:t xml:space="preserve">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do sono</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prolongada a NO2 associa-se a pior qualidade do sono em idosos rurais chineses, mas a atividade física atenua esse efeito adverso, sobretudo sobre a duração e a eficiência habitual do sono.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Cheng J (2024)</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184 idosos recrutados em três cidades com diferentes níveis de qualidade do ar</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Acelerometria (ActiGraph GT3X-BT, 7 dias)</w:t>
            </w:r>
          </w:p>
        </w:tc>
        <w:tc>
          <w:tcPr>
            <w:tcW w:type="dxa" w:w="1150"/>
            <w:tcMar>
              <w:top w:type="dxa" w:w="50"/>
              <w:left w:type="dxa" w:w="60"/>
              <w:bottom w:type="dxa" w:w="50"/>
              <w:right w:type="dxa" w:w="60"/>
            </w:tcMar>
            <w:vAlign w:val="center"/>
          </w:tcPr>
          <w:p>
            <w:r>
              <w:rPr>
                <w:b w:val="false"/>
                <w:bCs w:val="false"/>
                <w:color w:val="222222"/>
                <w:sz w:val="14"/>
                <w:szCs w:val="14"/>
              </w:rPr>
              <w:t xml:space="preserve">PM2.5, PM10, AQI</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à poluição do ar associa-se inversamente ao nível objetivo de atividade física em idosos: aumentos no AQI e em PM10 associaram-se a reduções significativas nos passos diários e nos minutos de AF leve, moderada e moderada-vigorosa.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Park W (2024)</w:t>
            </w:r>
          </w:p>
        </w:tc>
        <w:tc>
          <w:tcPr>
            <w:tcW w:type="dxa" w:w="800"/>
            <w:tcMar>
              <w:top w:type="dxa" w:w="50"/>
              <w:left w:type="dxa" w:w="60"/>
              <w:bottom w:type="dxa" w:w="50"/>
              <w:right w:type="dxa" w:w="60"/>
            </w:tcMar>
            <w:vAlign w:val="center"/>
          </w:tcPr>
          <w:p>
            <w:r>
              <w:rPr>
                <w:b w:val="false"/>
                <w:bCs w:val="false"/>
                <w:color w:val="222222"/>
                <w:sz w:val="14"/>
                <w:szCs w:val="14"/>
              </w:rPr>
              <w:t xml:space="preserve">Coreia do Sul</w:t>
            </w:r>
          </w:p>
        </w:tc>
        <w:tc>
          <w:tcPr>
            <w:tcW w:type="dxa" w:w="2100"/>
            <w:tcMar>
              <w:top w:type="dxa" w:w="50"/>
              <w:left w:type="dxa" w:w="60"/>
              <w:bottom w:type="dxa" w:w="50"/>
              <w:right w:type="dxa" w:w="60"/>
            </w:tcMar>
            <w:vAlign w:val="center"/>
          </w:tcPr>
          <w:p>
            <w:r>
              <w:rPr>
                <w:b w:val="false"/>
                <w:bCs w:val="false"/>
                <w:color w:val="222222"/>
                <w:sz w:val="14"/>
                <w:szCs w:val="14"/>
              </w:rPr>
              <w:t xml:space="preserve">1.454 adultos coreanos (subgrupo ≥65 anos analisado)</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Categorias por METs (inativo, minimamente ativo, HEPA)</w:t>
            </w:r>
          </w:p>
        </w:tc>
        <w:tc>
          <w:tcPr>
            <w:tcW w:type="dxa" w:w="1150"/>
            <w:tcMar>
              <w:top w:type="dxa" w:w="50"/>
              <w:left w:type="dxa" w:w="60"/>
              <w:bottom w:type="dxa" w:w="50"/>
              <w:right w:type="dxa" w:w="60"/>
            </w:tcMar>
            <w:vAlign w:val="center"/>
          </w:tcPr>
          <w:p>
            <w:r>
              <w:rPr>
                <w:b w:val="false"/>
                <w:bCs w:val="false"/>
                <w:color w:val="222222"/>
                <w:sz w:val="14"/>
                <w:szCs w:val="14"/>
              </w:rPr>
              <w:t xml:space="preserve">PM10, PM2.5, NO2</w:t>
            </w:r>
          </w:p>
        </w:tc>
        <w:tc>
          <w:tcPr>
            <w:tcW w:type="dxa" w:w="550"/>
            <w:tcMar>
              <w:top w:type="dxa" w:w="50"/>
              <w:left w:type="dxa" w:w="60"/>
              <w:bottom w:type="dxa" w:w="50"/>
              <w:right w:type="dxa" w:w="60"/>
            </w:tcMar>
            <w:vAlign w:val="center"/>
          </w:tcPr>
          <w:p>
            <w:r>
              <w:rPr>
                <w:b w:val="false"/>
                <w:bCs w:val="false"/>
                <w:color w:val="222222"/>
                <w:sz w:val="14"/>
                <w:szCs w:val="14"/>
              </w:rPr>
              <w:t xml:space="preserve">Open</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Em idosos, o risco de depressão associado à exposição a NO2 é maior nos grupos com atividade física mínima e de alta intensidade (HEPA) do que entre os inativos, sugerindo que idosos que se exercitam vigorosamente ao ar livre podem ser mais suscetíveis à depressão relacionada à poluição.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Li J (2024)</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3.937 idosos chineses residentes na comunidade</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IPAQ</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Em concentrações elevadas de material particulado, a associação benéfica da atividade física com a cognição é atenuada, enquanto a associação adversa dos poluentes se intensifica com níveis mais altos de AF, sugerindo que a AF não deve ser praticada em ambientes muito poluídos.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Zhan B (2023)</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11.399 idosos ≥60 anos, 30 cidades, China Longitudinal Aging Social Survey 2020</w:t>
            </w:r>
          </w:p>
        </w:tc>
        <w:tc>
          <w:tcPr>
            <w:tcW w:type="dxa" w:w="650"/>
            <w:tcMar>
              <w:top w:type="dxa" w:w="50"/>
              <w:left w:type="dxa" w:w="60"/>
              <w:bottom w:type="dxa" w:w="50"/>
              <w:right w:type="dxa" w:w="60"/>
            </w:tcMar>
            <w:vAlign w:val="center"/>
          </w:tcPr>
          <w:p>
            <w:r>
              <w:rPr>
                <w:b w:val="false"/>
                <w:bCs w:val="false"/>
                <w:color w:val="222222"/>
                <w:sz w:val="14"/>
                <w:szCs w:val="14"/>
              </w:rPr>
              <w:t xml:space="preserve">≥60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IPAQ-C (forma curta chinesa)</w:t>
            </w:r>
          </w:p>
        </w:tc>
        <w:tc>
          <w:tcPr>
            <w:tcW w:type="dxa" w:w="1150"/>
            <w:tcMar>
              <w:top w:type="dxa" w:w="50"/>
              <w:left w:type="dxa" w:w="60"/>
              <w:bottom w:type="dxa" w:w="50"/>
              <w:right w:type="dxa" w:w="60"/>
            </w:tcMar>
            <w:vAlign w:val="center"/>
          </w:tcPr>
          <w:p>
            <w:r>
              <w:rPr>
                <w:b w:val="false"/>
                <w:bCs w:val="false"/>
                <w:color w:val="222222"/>
                <w:sz w:val="14"/>
                <w:szCs w:val="14"/>
              </w:rPr>
              <w:t xml:space="preserve">AQI, PM2.5, PM10, 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O índice de qualidade do ar associou-se positivamente à atividade física moderada-vigorosa e leve, e negativamente ao comportamento sedentário, mas essas associações foram praticamente nulas entre mulheres, indicando padrão sexo-específico e inconsistente.</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Ku PW (2023)</w:t>
            </w:r>
          </w:p>
        </w:tc>
        <w:tc>
          <w:tcPr>
            <w:tcW w:type="dxa" w:w="800"/>
            <w:tcMar>
              <w:top w:type="dxa" w:w="50"/>
              <w:left w:type="dxa" w:w="60"/>
              <w:bottom w:type="dxa" w:w="50"/>
              <w:right w:type="dxa" w:w="60"/>
            </w:tcMar>
            <w:vAlign w:val="center"/>
          </w:tcPr>
          <w:p>
            <w:r>
              <w:rPr>
                <w:b w:val="false"/>
                <w:bCs w:val="false"/>
                <w:color w:val="222222"/>
                <w:sz w:val="14"/>
                <w:szCs w:val="14"/>
              </w:rPr>
              <w:t xml:space="preserve">Taiwan</w:t>
            </w:r>
          </w:p>
        </w:tc>
        <w:tc>
          <w:tcPr>
            <w:tcW w:type="dxa" w:w="2100"/>
            <w:tcMar>
              <w:top w:type="dxa" w:w="50"/>
              <w:left w:type="dxa" w:w="60"/>
              <w:bottom w:type="dxa" w:w="50"/>
              <w:right w:type="dxa" w:w="60"/>
            </w:tcMar>
            <w:vAlign w:val="center"/>
          </w:tcPr>
          <w:p>
            <w:r>
              <w:rPr>
                <w:b w:val="false"/>
                <w:bCs w:val="false"/>
                <w:color w:val="222222"/>
                <w:sz w:val="14"/>
                <w:szCs w:val="14"/>
              </w:rPr>
              <w:t xml:space="preserve">21.760 participantes ≥60 anos, MJ Cohort</w:t>
            </w:r>
          </w:p>
        </w:tc>
        <w:tc>
          <w:tcPr>
            <w:tcW w:type="dxa" w:w="650"/>
            <w:tcMar>
              <w:top w:type="dxa" w:w="50"/>
              <w:left w:type="dxa" w:w="60"/>
              <w:bottom w:type="dxa" w:w="50"/>
              <w:right w:type="dxa" w:w="60"/>
            </w:tcMar>
            <w:vAlign w:val="center"/>
          </w:tcPr>
          <w:p>
            <w:r>
              <w:rPr>
                <w:b w:val="false"/>
                <w:bCs w:val="false"/>
                <w:color w:val="222222"/>
                <w:sz w:val="14"/>
                <w:szCs w:val="14"/>
              </w:rPr>
              <w:t xml:space="preserve">60-74 anos e 75+ anos (subgrupos)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MET-h/semana de lazer (questionário)</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associação protetora da atividade física de lazer com a mortalidade por todas as causas mantém-se entre idosos de 60-74 anos mesmo sob alta exposição a PM2,5, mas é eliminada em adultos de 75 anos ou mais expostos a concentrações elevadas do poluente.</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Zhang J (2023)</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14.622 adultos de meia-idade e idosos, CHARLS onda 3</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IPAQ</w:t>
            </w:r>
          </w:p>
        </w:tc>
        <w:tc>
          <w:tcPr>
            <w:tcW w:type="dxa" w:w="1150"/>
            <w:tcMar>
              <w:top w:type="dxa" w:w="50"/>
              <w:left w:type="dxa" w:w="60"/>
              <w:bottom w:type="dxa" w:w="50"/>
              <w:right w:type="dxa" w:w="60"/>
            </w:tcMar>
            <w:vAlign w:val="center"/>
          </w:tcPr>
          <w:p>
            <w:r>
              <w:rPr>
                <w:b w:val="false"/>
                <w:bCs w:val="false"/>
                <w:color w:val="222222"/>
                <w:sz w:val="14"/>
                <w:szCs w:val="14"/>
              </w:rPr>
              <w:t xml:space="preserve">PM2.5, PM10, SO2, NO2, CO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 poluentes atmosféricos associa-se a maior pressão arterial e prevalência de hipertensão, enquanto AF elevada associa-se a redução da pressão arterial; os efeitos estimados da poluição foram menores no grupo com AF suficiente.</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Park H (2023)</w:t>
            </w:r>
          </w:p>
        </w:tc>
        <w:tc>
          <w:tcPr>
            <w:tcW w:type="dxa" w:w="800"/>
            <w:tcMar>
              <w:top w:type="dxa" w:w="50"/>
              <w:left w:type="dxa" w:w="60"/>
              <w:bottom w:type="dxa" w:w="50"/>
              <w:right w:type="dxa" w:w="60"/>
            </w:tcMar>
            <w:vAlign w:val="center"/>
          </w:tcPr>
          <w:p>
            <w:r>
              <w:rPr>
                <w:b w:val="false"/>
                <w:bCs w:val="false"/>
                <w:color w:val="222222"/>
                <w:sz w:val="14"/>
                <w:szCs w:val="14"/>
              </w:rPr>
              <w:t xml:space="preserve">Coreia do Sul</w:t>
            </w:r>
          </w:p>
        </w:tc>
        <w:tc>
          <w:tcPr>
            <w:tcW w:type="dxa" w:w="2100"/>
            <w:tcMar>
              <w:top w:type="dxa" w:w="50"/>
              <w:left w:type="dxa" w:w="60"/>
              <w:bottom w:type="dxa" w:w="50"/>
              <w:right w:type="dxa" w:w="60"/>
            </w:tcMar>
            <w:vAlign w:val="center"/>
          </w:tcPr>
          <w:p>
            <w:r>
              <w:rPr>
                <w:b w:val="false"/>
                <w:bCs w:val="false"/>
                <w:color w:val="222222"/>
                <w:sz w:val="14"/>
                <w:szCs w:val="14"/>
              </w:rPr>
              <w:t xml:space="preserve">81.326 idosos, coorte nacional</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Questionário autorrelatado (frequência de AF leve/moderada/vigorosa)</w:t>
            </w:r>
          </w:p>
        </w:tc>
        <w:tc>
          <w:tcPr>
            <w:tcW w:type="dxa" w:w="1150"/>
            <w:tcMar>
              <w:top w:type="dxa" w:w="50"/>
              <w:left w:type="dxa" w:w="60"/>
              <w:bottom w:type="dxa" w:w="50"/>
              <w:right w:type="dxa" w:w="60"/>
            </w:tcMar>
            <w:vAlign w:val="center"/>
          </w:tcPr>
          <w:p>
            <w:r>
              <w:rPr>
                <w:b w:val="false"/>
                <w:bCs w:val="false"/>
                <w:color w:val="222222"/>
                <w:sz w:val="14"/>
                <w:szCs w:val="14"/>
              </w:rPr>
              <w:t xml:space="preserve">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Para o mesmo nível total de atividade física, a AF vigorosa associou-se a maior risco de mortalidade em idosos expostos a altas concentrações de PM10, enquanto a AF moderada associou-se a menor risco de mortalidade mesmo sob poluição elevada.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Wu M (2021)</w:t>
            </w:r>
          </w:p>
        </w:tc>
        <w:tc>
          <w:tcPr>
            <w:tcW w:type="dxa" w:w="800"/>
            <w:tcMar>
              <w:top w:type="dxa" w:w="50"/>
              <w:left w:type="dxa" w:w="60"/>
              <w:bottom w:type="dxa" w:w="50"/>
              <w:right w:type="dxa" w:w="60"/>
            </w:tcMar>
            <w:vAlign w:val="center"/>
          </w:tcPr>
          <w:p>
            <w:r>
              <w:rPr>
                <w:b w:val="false"/>
                <w:bCs w:val="false"/>
                <w:color w:val="222222"/>
                <w:sz w:val="14"/>
                <w:szCs w:val="14"/>
              </w:rPr>
              <w:t xml:space="preserve">Reino Unido</w:t>
            </w:r>
          </w:p>
        </w:tc>
        <w:tc>
          <w:tcPr>
            <w:tcW w:type="dxa" w:w="2100"/>
            <w:tcMar>
              <w:top w:type="dxa" w:w="50"/>
              <w:left w:type="dxa" w:w="60"/>
              <w:bottom w:type="dxa" w:w="50"/>
              <w:right w:type="dxa" w:w="60"/>
            </w:tcMar>
            <w:vAlign w:val="center"/>
          </w:tcPr>
          <w:p>
            <w:r>
              <w:rPr>
                <w:b w:val="false"/>
                <w:bCs w:val="false"/>
                <w:color w:val="222222"/>
                <w:sz w:val="14"/>
                <w:szCs w:val="14"/>
              </w:rPr>
              <w:t xml:space="preserve">39.168 idosos ≥60 anos, UK Biobank</w:t>
            </w:r>
          </w:p>
        </w:tc>
        <w:tc>
          <w:tcPr>
            <w:tcW w:type="dxa" w:w="650"/>
            <w:tcMar>
              <w:top w:type="dxa" w:w="50"/>
              <w:left w:type="dxa" w:w="60"/>
              <w:bottom w:type="dxa" w:w="50"/>
              <w:right w:type="dxa" w:w="60"/>
            </w:tcMar>
            <w:vAlign w:val="center"/>
          </w:tcPr>
          <w:p>
            <w:r>
              <w:rPr>
                <w:b w:val="false"/>
                <w:bCs w:val="false"/>
                <w:color w:val="222222"/>
                <w:sz w:val="14"/>
                <w:szCs w:val="14"/>
              </w:rPr>
              <w:t xml:space="preserve">≥60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mentais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Maior exposição a PM2,5 associa-se a maior prevalência de transtorno depressivo maior em idosos, mas níveis mais altos de vitamina D e de atividade física atenuam significativamente essa associação.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c>
          <w:tcPr>
            <w:tcW w:type="dxa" w:w="1300"/>
            <w:tcMar>
              <w:top w:type="dxa" w:w="50"/>
              <w:left w:type="dxa" w:w="60"/>
              <w:bottom w:type="dxa" w:w="50"/>
              <w:right w:type="dxa" w:w="60"/>
            </w:tcMar>
            <w:vAlign w:val="center"/>
          </w:tcPr>
          <w:p>
            <w:r>
              <w:rPr>
                <w:b w:val="false"/>
                <w:bCs w:val="false"/>
                <w:color w:val="222222"/>
                <w:sz w:val="14"/>
                <w:szCs w:val="14"/>
              </w:rPr>
              <w:t xml:space="preserve">Ao L (2022)</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36.562 participantes 50-79 anos, China Multi-Ethnic Cohort (CMEC)</w:t>
            </w:r>
          </w:p>
        </w:tc>
        <w:tc>
          <w:tcPr>
            <w:tcW w:type="dxa" w:w="650"/>
            <w:tcMar>
              <w:top w:type="dxa" w:w="50"/>
              <w:left w:type="dxa" w:w="60"/>
              <w:bottom w:type="dxa" w:w="50"/>
              <w:right w:type="dxa" w:w="60"/>
            </w:tcMar>
            <w:vAlign w:val="center"/>
          </w:tcPr>
          <w:p>
            <w:r>
              <w:rPr>
                <w:b w:val="false"/>
                <w:bCs w:val="false"/>
                <w:color w:val="222222"/>
                <w:sz w:val="14"/>
                <w:szCs w:val="14"/>
              </w:rPr>
              <w:t xml:space="preserve">50-79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MET calculado por escala de AF (questionário)</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Os benefícios da atividade física sobre o diabetes tipo 2 superam os efeitos nocivos da poluição do ar, exceto em situações de poluição extrema, quando o risco aumenta com níveis de AF acima de aproximadamente 40 MET-horas por dia.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Wan Z (2026)</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17.718 participantes, CHARLS 2015-2020</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Quartis de MET (Q1-Q4)</w:t>
            </w:r>
          </w:p>
        </w:tc>
        <w:tc>
          <w:tcPr>
            <w:tcW w:type="dxa" w:w="1150"/>
            <w:tcMar>
              <w:top w:type="dxa" w:w="50"/>
              <w:left w:type="dxa" w:w="60"/>
              <w:bottom w:type="dxa" w:w="50"/>
              <w:right w:type="dxa" w:w="60"/>
            </w:tcMar>
            <w:vAlign w:val="center"/>
          </w:tcPr>
          <w:p>
            <w:r>
              <w:rPr>
                <w:b w:val="false"/>
                <w:bCs w:val="false"/>
                <w:color w:val="222222"/>
                <w:sz w:val="14"/>
                <w:szCs w:val="14"/>
              </w:rPr>
              <w:t xml:space="preserve">PM1, PM2.5, NO2, SO2, CO, O3</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Todos os poluentes associaram-se a maior risco de multimorbidade cardiometabólica, mas níveis mais elevados de atividade física apresentaram efeito protetor pronunciado e mediaram parcialmente essa relação, com proporções de mediação entre 5,71% e 19,88%.</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Curto A (2026)</w:t>
            </w:r>
          </w:p>
        </w:tc>
        <w:tc>
          <w:tcPr>
            <w:tcW w:type="dxa" w:w="800"/>
            <w:tcMar>
              <w:top w:type="dxa" w:w="50"/>
              <w:left w:type="dxa" w:w="60"/>
              <w:bottom w:type="dxa" w:w="50"/>
              <w:right w:type="dxa" w:w="60"/>
            </w:tcMar>
            <w:vAlign w:val="center"/>
          </w:tcPr>
          <w:p>
            <w:r>
              <w:rPr>
                <w:b w:val="false"/>
                <w:bCs w:val="false"/>
                <w:color w:val="222222"/>
                <w:sz w:val="14"/>
                <w:szCs w:val="14"/>
              </w:rPr>
              <w:t xml:space="preserve">Espanha</w:t>
            </w:r>
          </w:p>
        </w:tc>
        <w:tc>
          <w:tcPr>
            <w:tcW w:type="dxa" w:w="2100"/>
            <w:tcMar>
              <w:top w:type="dxa" w:w="50"/>
              <w:left w:type="dxa" w:w="60"/>
              <w:bottom w:type="dxa" w:w="50"/>
              <w:right w:type="dxa" w:w="60"/>
            </w:tcMar>
            <w:vAlign w:val="center"/>
          </w:tcPr>
          <w:p>
            <w:r>
              <w:rPr>
                <w:b w:val="false"/>
                <w:bCs w:val="false"/>
                <w:color w:val="222222"/>
                <w:sz w:val="14"/>
                <w:szCs w:val="14"/>
              </w:rPr>
              <w:t xml:space="preserve">1.454 idosos 54-75 anos com sobrepeso/obesidade e síndrome metabólica, PREDIMED-Plus</w:t>
            </w:r>
          </w:p>
        </w:tc>
        <w:tc>
          <w:tcPr>
            <w:tcW w:type="dxa" w:w="650"/>
            <w:tcMar>
              <w:top w:type="dxa" w:w="50"/>
              <w:left w:type="dxa" w:w="60"/>
              <w:bottom w:type="dxa" w:w="50"/>
              <w:right w:type="dxa" w:w="60"/>
            </w:tcMar>
            <w:vAlign w:val="center"/>
          </w:tcPr>
          <w:p>
            <w:r>
              <w:rPr>
                <w:b w:val="false"/>
                <w:bCs w:val="false"/>
                <w:color w:val="222222"/>
                <w:sz w:val="14"/>
                <w:szCs w:val="14"/>
              </w:rPr>
              <w:t xml:space="preserve">54-75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Carbono negro (BC), PM2.5, 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de longo prazo a carbono negro, PM2,5 e NO2 associa-se a maior percentual de gordura corporal e menor massa magra em idosos com sobrepeso/obesidade e síndrome metabólica, sem diferença significativa dessas associações conforme o nível de atividade física.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Yılmaz S (2026)</w:t>
            </w:r>
          </w:p>
        </w:tc>
        <w:tc>
          <w:tcPr>
            <w:tcW w:type="dxa" w:w="800"/>
            <w:tcMar>
              <w:top w:type="dxa" w:w="50"/>
              <w:left w:type="dxa" w:w="60"/>
              <w:bottom w:type="dxa" w:w="50"/>
              <w:right w:type="dxa" w:w="60"/>
            </w:tcMar>
            <w:vAlign w:val="center"/>
          </w:tcPr>
          <w:p>
            <w:r>
              <w:rPr>
                <w:b w:val="false"/>
                <w:bCs w:val="false"/>
                <w:color w:val="222222"/>
                <w:sz w:val="14"/>
                <w:szCs w:val="14"/>
              </w:rPr>
              <w:t xml:space="preserve">Multinacional (38 países da OCDE)</w:t>
            </w:r>
          </w:p>
        </w:tc>
        <w:tc>
          <w:tcPr>
            <w:tcW w:type="dxa" w:w="2100"/>
            <w:tcMar>
              <w:top w:type="dxa" w:w="50"/>
              <w:left w:type="dxa" w:w="60"/>
              <w:bottom w:type="dxa" w:w="50"/>
              <w:right w:type="dxa" w:w="60"/>
            </w:tcMar>
            <w:vAlign w:val="center"/>
          </w:tcPr>
          <w:p>
            <w:r>
              <w:rPr>
                <w:b w:val="false"/>
                <w:bCs w:val="false"/>
                <w:color w:val="222222"/>
                <w:sz w:val="14"/>
                <w:szCs w:val="14"/>
              </w:rPr>
              <w:t xml:space="preserve">Dados transversais nacionais de 38 países da OCDE; subgrupo de idosos ≥70 anos analisado</w:t>
            </w:r>
          </w:p>
        </w:tc>
        <w:tc>
          <w:tcPr>
            <w:tcW w:type="dxa" w:w="650"/>
            <w:tcMar>
              <w:top w:type="dxa" w:w="50"/>
              <w:left w:type="dxa" w:w="60"/>
              <w:bottom w:type="dxa" w:w="50"/>
              <w:right w:type="dxa" w:w="60"/>
            </w:tcMar>
            <w:vAlign w:val="center"/>
          </w:tcPr>
          <w:p>
            <w:r>
              <w:rPr>
                <w:b w:val="false"/>
                <w:bCs w:val="false"/>
                <w:color w:val="222222"/>
                <w:sz w:val="14"/>
                <w:szCs w:val="14"/>
              </w:rPr>
              <w:t xml:space="preserve">≥70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Prevalência nacional agregada de AF</w:t>
            </w:r>
          </w:p>
        </w:tc>
        <w:tc>
          <w:tcPr>
            <w:tcW w:type="dxa" w:w="1150"/>
            <w:tcMar>
              <w:top w:type="dxa" w:w="50"/>
              <w:left w:type="dxa" w:w="60"/>
              <w:bottom w:type="dxa" w:w="50"/>
              <w:right w:type="dxa" w:w="60"/>
            </w:tcMar>
            <w:vAlign w:val="center"/>
          </w:tcPr>
          <w:p>
            <w:r>
              <w:rPr>
                <w:b w:val="false"/>
                <w:bCs w:val="false"/>
                <w:color w:val="222222"/>
                <w:sz w:val="14"/>
                <w:szCs w:val="14"/>
              </w:rPr>
              <w:t xml:space="preserve">NR (DALYs relacionados à poluição do ar, poluente não especificado)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Em idosos (70 anos ou mais), maior carga de doença atribuível à poluição do ar (DALYs) associa-se a menor prevalência de atividade física entre os países da OCDE, mesmo controlando por fatores socioeconômicos e de infraestrutura esportiva.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Liu Q (2026)</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1.875 participantes de meia-idade e idosos, 10 cidades da região Pequim-Tianjin-Hebei</w:t>
            </w:r>
          </w:p>
        </w:tc>
        <w:tc>
          <w:tcPr>
            <w:tcW w:type="dxa" w:w="650"/>
            <w:tcMar>
              <w:top w:type="dxa" w:w="50"/>
              <w:left w:type="dxa" w:w="60"/>
              <w:bottom w:type="dxa" w:w="50"/>
              <w:right w:type="dxa" w:w="60"/>
            </w:tcMar>
            <w:vAlign w:val="center"/>
          </w:tcPr>
          <w:p>
            <w:r>
              <w:rPr>
                <w:b w:val="false"/>
                <w:bCs w:val="false"/>
                <w:color w:val="222222"/>
                <w:sz w:val="14"/>
                <w:szCs w:val="14"/>
              </w:rPr>
              <w:t xml:space="preserve">64,95±13,42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PM2.5 e componentes (carbono elementar, carbono orgânico, cálcio, cobre)</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 PM2,5 e a seus componentes associou-se a aumento do índice de fragilidade em adultos de meia-idade e idosos, mas a análise de subgrupos não encontrou diferença significativa dessa associação conforme o nível de atividade física.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Zhu A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12.873 participantes, mediana de 88 anos, CLHLS, 22 províncias</w:t>
            </w:r>
          </w:p>
        </w:tc>
        <w:tc>
          <w:tcPr>
            <w:tcW w:type="dxa" w:w="650"/>
            <w:tcMar>
              <w:top w:type="dxa" w:w="50"/>
              <w:left w:type="dxa" w:w="60"/>
              <w:bottom w:type="dxa" w:w="50"/>
              <w:right w:type="dxa" w:w="60"/>
            </w:tcMar>
            <w:vAlign w:val="center"/>
          </w:tcPr>
          <w:p>
            <w:r>
              <w:rPr>
                <w:b w:val="false"/>
                <w:bCs w:val="false"/>
                <w:color w:val="222222"/>
                <w:sz w:val="14"/>
                <w:szCs w:val="14"/>
              </w:rPr>
              <w:t xml:space="preserve">Mediana 88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Carbono negro (BC), PM2.5 e componentes (sulfato, nitrato, amônio, matéria orgânica)</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ao carbono negro associa-se fortemente a maior mortalidade por todas as causas em idosos muito idosos, com risco ainda maior entre residentes de áreas rurais e com menor nível de atividade física e de atividades sociais/lazer.</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Dalecká A (2025)</w:t>
            </w:r>
          </w:p>
        </w:tc>
        <w:tc>
          <w:tcPr>
            <w:tcW w:type="dxa" w:w="800"/>
            <w:tcMar>
              <w:top w:type="dxa" w:w="50"/>
              <w:left w:type="dxa" w:w="60"/>
              <w:bottom w:type="dxa" w:w="50"/>
              <w:right w:type="dxa" w:w="60"/>
            </w:tcMar>
            <w:vAlign w:val="center"/>
          </w:tcPr>
          <w:p>
            <w:r>
              <w:rPr>
                <w:b w:val="false"/>
                <w:bCs w:val="false"/>
                <w:color w:val="222222"/>
                <w:sz w:val="14"/>
                <w:szCs w:val="14"/>
              </w:rPr>
              <w:t xml:space="preserve">República Tcheca</w:t>
            </w:r>
          </w:p>
        </w:tc>
        <w:tc>
          <w:tcPr>
            <w:tcW w:type="dxa" w:w="2100"/>
            <w:tcMar>
              <w:top w:type="dxa" w:w="50"/>
              <w:left w:type="dxa" w:w="60"/>
              <w:bottom w:type="dxa" w:w="50"/>
              <w:right w:type="dxa" w:w="60"/>
            </w:tcMar>
            <w:vAlign w:val="center"/>
          </w:tcPr>
          <w:p>
            <w:r>
              <w:rPr>
                <w:b w:val="false"/>
                <w:bCs w:val="false"/>
                <w:color w:val="222222"/>
                <w:sz w:val="14"/>
                <w:szCs w:val="14"/>
              </w:rPr>
              <w:t xml:space="preserve">4.178 participantes 45-69 anos, braço tcheco da coorte HAPIEE</w:t>
            </w:r>
          </w:p>
        </w:tc>
        <w:tc>
          <w:tcPr>
            <w:tcW w:type="dxa" w:w="650"/>
            <w:tcMar>
              <w:top w:type="dxa" w:w="50"/>
              <w:left w:type="dxa" w:w="60"/>
              <w:bottom w:type="dxa" w:w="50"/>
              <w:right w:type="dxa" w:w="60"/>
            </w:tcMar>
            <w:vAlign w:val="center"/>
          </w:tcPr>
          <w:p>
            <w:r>
              <w:rPr>
                <w:b w:val="false"/>
                <w:bCs w:val="false"/>
                <w:color w:val="222222"/>
                <w:sz w:val="14"/>
                <w:szCs w:val="14"/>
              </w:rPr>
              <w:t xml:space="preserve">45-69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poluição do ar (PM2,5) associa-se a pior função cognitiva global, e a atividade física medeia parcialmente essa associação, mas de forma fraca (3,9% a 6,5%), insuficiente para neutralizar o efeito adverso da poluição.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Liu X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6.125 indivíduos, CHARLS 2011 e 2015</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Exercício físico (baixa e alta intensidade)</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 PM2,5 aumenta o risco de síndrome metabólica; o exercício de baixa intensidade atenua o efeito do PM2,5 sobre a circunferência da cintura e a pressão sistólica, mas o exercício de alta intensidade pode ampliar o efeito do poluente sobre a circunferência da cintura.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Yu Z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65.159 observações pessoa-onda de 23.412 participantes, CHARLS 2011-2018</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PM2,5 foi identificado como o fator mais importante associado ao declínio cognitivo em adultos de meia-idade e idosos chineses, independentemente do sexo, com tipo de combustível, IMC e atividade física surgindo como fatores de menor importância relativa.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Chen CH (2025)</w:t>
            </w:r>
          </w:p>
        </w:tc>
        <w:tc>
          <w:tcPr>
            <w:tcW w:type="dxa" w:w="800"/>
            <w:tcMar>
              <w:top w:type="dxa" w:w="50"/>
              <w:left w:type="dxa" w:w="60"/>
              <w:bottom w:type="dxa" w:w="50"/>
              <w:right w:type="dxa" w:w="60"/>
            </w:tcMar>
            <w:vAlign w:val="center"/>
          </w:tcPr>
          <w:p>
            <w:r>
              <w:rPr>
                <w:b w:val="false"/>
                <w:bCs w:val="false"/>
                <w:color w:val="222222"/>
                <w:sz w:val="14"/>
                <w:szCs w:val="14"/>
              </w:rPr>
              <w:t xml:space="preserve">Taiwan</w:t>
            </w:r>
          </w:p>
        </w:tc>
        <w:tc>
          <w:tcPr>
            <w:tcW w:type="dxa" w:w="2100"/>
            <w:tcMar>
              <w:top w:type="dxa" w:w="50"/>
              <w:left w:type="dxa" w:w="60"/>
              <w:bottom w:type="dxa" w:w="50"/>
              <w:right w:type="dxa" w:w="60"/>
            </w:tcMar>
            <w:vAlign w:val="center"/>
          </w:tcPr>
          <w:p>
            <w:r>
              <w:rPr>
                <w:b w:val="false"/>
                <w:bCs w:val="false"/>
                <w:color w:val="222222"/>
                <w:sz w:val="14"/>
                <w:szCs w:val="14"/>
              </w:rPr>
              <w:t xml:space="preserve">395 idosos residentes na bacia de Taipei</w:t>
            </w:r>
          </w:p>
        </w:tc>
        <w:tc>
          <w:tcPr>
            <w:tcW w:type="dxa" w:w="650"/>
            <w:tcMar>
              <w:top w:type="dxa" w:w="50"/>
              <w:left w:type="dxa" w:w="60"/>
              <w:bottom w:type="dxa" w:w="50"/>
              <w:right w:type="dxa" w:w="60"/>
            </w:tcMar>
            <w:vAlign w:val="center"/>
          </w:tcPr>
          <w:p>
            <w:r>
              <w:rPr>
                <w:b w:val="false"/>
                <w:bCs w:val="false"/>
                <w:color w:val="222222"/>
                <w:sz w:val="14"/>
                <w:szCs w:val="14"/>
              </w:rPr>
              <w:t xml:space="preserve">NR (subgrupo &gt;70 anos analisado)</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Frequência de exercício moderado ou extenuante (autorrelato)</w:t>
            </w:r>
          </w:p>
        </w:tc>
        <w:tc>
          <w:tcPr>
            <w:tcW w:type="dxa" w:w="1150"/>
            <w:tcMar>
              <w:top w:type="dxa" w:w="50"/>
              <w:left w:type="dxa" w:w="60"/>
              <w:bottom w:type="dxa" w:w="50"/>
              <w:right w:type="dxa" w:w="60"/>
            </w:tcMar>
            <w:vAlign w:val="center"/>
          </w:tcPr>
          <w:p>
            <w:r>
              <w:rPr>
                <w:b w:val="false"/>
                <w:bCs w:val="false"/>
                <w:color w:val="222222"/>
                <w:sz w:val="14"/>
                <w:szCs w:val="14"/>
              </w:rPr>
              <w:t xml:space="preserve">PM2.5, NO2, O3, CO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prolongada a PM2,5 associa-se a declínio mais rápido da força de preensão manual e da massa muscular esquelética, e a aumento da massa gorda em idosos, efeito mais pronunciado entre aqueles com menor frequência de exercício.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Lan Y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23.887 indivíduos ≥65 anos com MASLD</w:t>
            </w:r>
          </w:p>
        </w:tc>
        <w:tc>
          <w:tcPr>
            <w:tcW w:type="dxa" w:w="650"/>
            <w:tcMar>
              <w:top w:type="dxa" w:w="50"/>
              <w:left w:type="dxa" w:w="60"/>
              <w:bottom w:type="dxa" w:w="50"/>
              <w:right w:type="dxa" w:w="60"/>
            </w:tcMar>
            <w:vAlign w:val="center"/>
          </w:tcPr>
          <w:p>
            <w:r>
              <w:rPr>
                <w:b w:val="false"/>
                <w:bCs w:val="false"/>
                <w:color w:val="222222"/>
                <w:sz w:val="14"/>
                <w:szCs w:val="14"/>
              </w:rPr>
              <w:t xml:space="preserve">≥65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(fisicamente inativo como subgrupo)</w:t>
            </w:r>
          </w:p>
        </w:tc>
        <w:tc>
          <w:tcPr>
            <w:tcW w:type="dxa" w:w="1150"/>
            <w:tcMar>
              <w:top w:type="dxa" w:w="50"/>
              <w:left w:type="dxa" w:w="60"/>
              <w:bottom w:type="dxa" w:w="50"/>
              <w:right w:type="dxa" w:w="60"/>
            </w:tcMar>
            <w:vAlign w:val="center"/>
          </w:tcPr>
          <w:p>
            <w:r>
              <w:rPr>
                <w:b w:val="false"/>
                <w:bCs w:val="false"/>
                <w:color w:val="222222"/>
                <w:sz w:val="14"/>
                <w:szCs w:val="14"/>
              </w:rPr>
              <w:t xml:space="preserve">NO2, SO2, O3, CO,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hepáticas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 poluentes atmosféricos associa-se a maior risco de fibrose hepática em idosos com MASLD, com efeitos mais pronunciados entre homens, indivíduos fisicamente inativos, não obesos e não diabéticos.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Zhao Q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7.651 indivíduos ≥65 anos, CLHLS 2008-2018</w:t>
            </w:r>
          </w:p>
        </w:tc>
        <w:tc>
          <w:tcPr>
            <w:tcW w:type="dxa" w:w="650"/>
            <w:tcMar>
              <w:top w:type="dxa" w:w="50"/>
              <w:left w:type="dxa" w:w="60"/>
              <w:bottom w:type="dxa" w:w="50"/>
              <w:right w:type="dxa" w:w="60"/>
            </w:tcMar>
            <w:vAlign w:val="center"/>
          </w:tcPr>
          <w:p>
            <w:r>
              <w:rPr>
                <w:b w:val="false"/>
                <w:bCs w:val="false"/>
                <w:color w:val="222222"/>
                <w:sz w:val="14"/>
                <w:szCs w:val="14"/>
              </w:rPr>
              <w:t xml:space="preserve">≥65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AF regular (um dos 4 componentes do escore de estilo de vida saudável, autorrelato)</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 material particulado associa-se a pior função cognitiva ao longo de 10 anos, mas essa associação adversa é significativamente atenuada entre indivíduos com estilo de vida saudável, que inclui prática regular de atividade física.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Zeng T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2.114 participantes, CHARLS</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AF como componente de escore de estilo de vida saudável (autorrelato)</w:t>
            </w:r>
          </w:p>
        </w:tc>
        <w:tc>
          <w:tcPr>
            <w:tcW w:type="dxa" w:w="1150"/>
            <w:tcMar>
              <w:top w:type="dxa" w:w="50"/>
              <w:left w:type="dxa" w:w="60"/>
              <w:bottom w:type="dxa" w:w="50"/>
              <w:right w:type="dxa" w:w="60"/>
            </w:tcMar>
            <w:vAlign w:val="center"/>
          </w:tcPr>
          <w:p>
            <w:r>
              <w:rPr>
                <w:b w:val="false"/>
                <w:bCs w:val="false"/>
                <w:color w:val="222222"/>
                <w:sz w:val="14"/>
                <w:szCs w:val="14"/>
              </w:rPr>
              <w:t xml:space="preserve">Poluição do ar doméstica (uso de combustível sólido)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poluição do ar doméstica e um estilo de vida não saudável associam-se, isoladamente, a maior risco de sarcopenia, e a combinação de ambos gera o maior risco relativo, sem interação aditiva estatisticamente significativa entre eles.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Fu H (2025)</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10.055 participantes ≥60 anos, Zhejiang Province Major Public Health Surveillance Program</w:t>
            </w:r>
          </w:p>
        </w:tc>
        <w:tc>
          <w:tcPr>
            <w:tcW w:type="dxa" w:w="650"/>
            <w:tcMar>
              <w:top w:type="dxa" w:w="50"/>
              <w:left w:type="dxa" w:w="60"/>
              <w:bottom w:type="dxa" w:w="50"/>
              <w:right w:type="dxa" w:w="60"/>
            </w:tcMar>
            <w:vAlign w:val="center"/>
          </w:tcPr>
          <w:p>
            <w:r>
              <w:rPr>
                <w:b w:val="false"/>
                <w:bCs w:val="false"/>
                <w:color w:val="222222"/>
                <w:sz w:val="14"/>
                <w:szCs w:val="14"/>
              </w:rPr>
              <w:t xml:space="preserve">≥60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(variável "exercício" em análise de interação)</w:t>
            </w:r>
          </w:p>
        </w:tc>
        <w:tc>
          <w:tcPr>
            <w:tcW w:type="dxa" w:w="1150"/>
            <w:tcMar>
              <w:top w:type="dxa" w:w="50"/>
              <w:left w:type="dxa" w:w="60"/>
              <w:bottom w:type="dxa" w:w="50"/>
              <w:right w:type="dxa" w:w="60"/>
            </w:tcMar>
            <w:vAlign w:val="center"/>
          </w:tcPr>
          <w:p>
            <w:r>
              <w:rPr>
                <w:b w:val="false"/>
                <w:bCs w:val="false"/>
                <w:color w:val="222222"/>
                <w:sz w:val="14"/>
                <w:szCs w:val="14"/>
              </w:rPr>
              <w:t xml:space="preserve">NO2, SO2, O3, PM2.5, PM10 (escore conjunto de poluição - JAPS)</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combinada a poluentes atmosféricos associa-se a maior risco de doença de Alzheimer em idosos, com interação significativa entre a pontuação conjunta de poluição e o exercício físico, que amplifica a incidência da doença sob poluição extremamente elevada.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Hong J (2025)</w:t>
            </w:r>
          </w:p>
        </w:tc>
        <w:tc>
          <w:tcPr>
            <w:tcW w:type="dxa" w:w="800"/>
            <w:tcMar>
              <w:top w:type="dxa" w:w="50"/>
              <w:left w:type="dxa" w:w="60"/>
              <w:bottom w:type="dxa" w:w="50"/>
              <w:right w:type="dxa" w:w="60"/>
            </w:tcMar>
            <w:vAlign w:val="center"/>
          </w:tcPr>
          <w:p>
            <w:r>
              <w:rPr>
                <w:b w:val="false"/>
                <w:bCs w:val="false"/>
                <w:color w:val="222222"/>
                <w:sz w:val="14"/>
                <w:szCs w:val="14"/>
              </w:rPr>
              <w:t xml:space="preserve">Estados Unidos</w:t>
            </w:r>
          </w:p>
        </w:tc>
        <w:tc>
          <w:tcPr>
            <w:tcW w:type="dxa" w:w="2100"/>
            <w:tcMar>
              <w:top w:type="dxa" w:w="50"/>
              <w:left w:type="dxa" w:w="60"/>
              <w:bottom w:type="dxa" w:w="50"/>
              <w:right w:type="dxa" w:w="60"/>
            </w:tcMar>
            <w:vAlign w:val="center"/>
          </w:tcPr>
          <w:p>
            <w:r>
              <w:rPr>
                <w:b w:val="false"/>
                <w:bCs w:val="false"/>
                <w:color w:val="222222"/>
                <w:sz w:val="14"/>
                <w:szCs w:val="14"/>
              </w:rPr>
              <w:t xml:space="preserve">2.073 pacientes idosos ≥50 anos avaliados para transplante renal</w:t>
            </w:r>
          </w:p>
        </w:tc>
        <w:tc>
          <w:tcPr>
            <w:tcW w:type="dxa" w:w="650"/>
            <w:tcMar>
              <w:top w:type="dxa" w:w="50"/>
              <w:left w:type="dxa" w:w="60"/>
              <w:bottom w:type="dxa" w:w="50"/>
              <w:right w:type="dxa" w:w="60"/>
            </w:tcMar>
            <w:vAlign w:val="center"/>
          </w:tcPr>
          <w:p>
            <w:r>
              <w:rPr>
                <w:b w:val="false"/>
                <w:bCs w:val="false"/>
                <w:color w:val="222222"/>
                <w:sz w:val="14"/>
                <w:szCs w:val="14"/>
              </w:rPr>
              <w:t xml:space="preserve">≥50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(nível de AF baixo vs. alto)</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Alta exposição a PM2,5 associa-se a pior função cognitiva global, maior chance de comprometimento cognitivo e maior risco de demência em pacientes idosos avaliados para transplante renal, com associação mais forte entre os com baixa atividade física.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Li A (2024)</w:t>
            </w:r>
          </w:p>
        </w:tc>
        <w:tc>
          <w:tcPr>
            <w:tcW w:type="dxa" w:w="800"/>
            <w:tcMar>
              <w:top w:type="dxa" w:w="50"/>
              <w:left w:type="dxa" w:w="60"/>
              <w:bottom w:type="dxa" w:w="50"/>
              <w:right w:type="dxa" w:w="60"/>
            </w:tcMar>
            <w:vAlign w:val="center"/>
          </w:tcPr>
          <w:p>
            <w:r>
              <w:rPr>
                <w:b w:val="false"/>
                <w:bCs w:val="false"/>
                <w:color w:val="222222"/>
                <w:sz w:val="14"/>
                <w:szCs w:val="14"/>
              </w:rPr>
              <w:t xml:space="preserve">Reino Unido</w:t>
            </w:r>
          </w:p>
        </w:tc>
        <w:tc>
          <w:tcPr>
            <w:tcW w:type="dxa" w:w="2100"/>
            <w:tcMar>
              <w:top w:type="dxa" w:w="50"/>
              <w:left w:type="dxa" w:w="60"/>
              <w:bottom w:type="dxa" w:w="50"/>
              <w:right w:type="dxa" w:w="60"/>
            </w:tcMar>
            <w:vAlign w:val="center"/>
          </w:tcPr>
          <w:p>
            <w:r>
              <w:rPr>
                <w:b w:val="false"/>
                <w:bCs w:val="false"/>
                <w:color w:val="222222"/>
                <w:sz w:val="14"/>
                <w:szCs w:val="14"/>
              </w:rPr>
              <w:t xml:space="preserve">443.587 indivíduos 38-70 anos, UK Biobank</w:t>
            </w:r>
          </w:p>
        </w:tc>
        <w:tc>
          <w:tcPr>
            <w:tcW w:type="dxa" w:w="650"/>
            <w:tcMar>
              <w:top w:type="dxa" w:w="50"/>
              <w:left w:type="dxa" w:w="60"/>
              <w:bottom w:type="dxa" w:w="50"/>
              <w:right w:type="dxa" w:w="60"/>
            </w:tcMar>
            <w:vAlign w:val="center"/>
          </w:tcPr>
          <w:p>
            <w:r>
              <w:rPr>
                <w:b w:val="false"/>
                <w:bCs w:val="false"/>
                <w:color w:val="222222"/>
                <w:sz w:val="14"/>
                <w:szCs w:val="14"/>
              </w:rPr>
              <w:t xml:space="preserve">38-70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(nível de AF baixo/moderado/alto)</w:t>
            </w:r>
          </w:p>
        </w:tc>
        <w:tc>
          <w:tcPr>
            <w:tcW w:type="dxa" w:w="1150"/>
            <w:tcMar>
              <w:top w:type="dxa" w:w="50"/>
              <w:left w:type="dxa" w:w="60"/>
              <w:bottom w:type="dxa" w:w="50"/>
              <w:right w:type="dxa" w:w="60"/>
            </w:tcMar>
            <w:vAlign w:val="center"/>
          </w:tcPr>
          <w:p>
            <w:r>
              <w:rPr>
                <w:b w:val="false"/>
                <w:bCs w:val="false"/>
                <w:color w:val="222222"/>
                <w:sz w:val="14"/>
                <w:szCs w:val="14"/>
              </w:rPr>
              <w:t xml:space="preserve">PM2.5, PM10, NO2, NOx</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Maior exposição de longo prazo a poluentes atmosféricos associa-se a maior risco de gota incidente, com associação mais pronunciada entre idosos, fumantes e indivíduos com nível de atividade física baixo a moderado.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Hu X (2024)</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7.000 participantes, 2011-2012 a 2018</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AF como um dos 6 fatores do escore de estilo de vida</w:t>
            </w:r>
          </w:p>
        </w:tc>
        <w:tc>
          <w:tcPr>
            <w:tcW w:type="dxa" w:w="1150"/>
            <w:tcMar>
              <w:top w:type="dxa" w:w="50"/>
              <w:left w:type="dxa" w:w="60"/>
              <w:bottom w:type="dxa" w:w="50"/>
              <w:right w:type="dxa" w:w="60"/>
            </w:tcMar>
            <w:vAlign w:val="center"/>
          </w:tcPr>
          <w:p>
            <w:r>
              <w:rPr>
                <w:b w:val="false"/>
                <w:bCs w:val="false"/>
                <w:color w:val="222222"/>
                <w:sz w:val="14"/>
                <w:szCs w:val="14"/>
              </w:rPr>
              <w:t xml:space="preserve">PM1, PM2.5, PM10, NO2, O3</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adesão a um estilo de vida saudável, que inclui atividade física, associa-se a menor risco de doença cardiovascular e medeia parcialmente o efeito da poluição atmosférica sobre esse risco, com proporções de mediação entre 7,4% e 14,3%.</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Ma X (2024)</w:t>
            </w:r>
          </w:p>
        </w:tc>
        <w:tc>
          <w:tcPr>
            <w:tcW w:type="dxa" w:w="800"/>
            <w:tcMar>
              <w:top w:type="dxa" w:w="50"/>
              <w:left w:type="dxa" w:w="60"/>
              <w:bottom w:type="dxa" w:w="50"/>
              <w:right w:type="dxa" w:w="60"/>
            </w:tcMar>
            <w:vAlign w:val="center"/>
          </w:tcPr>
          <w:p>
            <w:r>
              <w:rPr>
                <w:b w:val="false"/>
                <w:bCs w:val="false"/>
                <w:color w:val="222222"/>
                <w:sz w:val="14"/>
                <w:szCs w:val="14"/>
              </w:rPr>
              <w:t xml:space="preserve">Estados Unidos</w:t>
            </w:r>
          </w:p>
        </w:tc>
        <w:tc>
          <w:tcPr>
            <w:tcW w:type="dxa" w:w="2100"/>
            <w:tcMar>
              <w:top w:type="dxa" w:w="50"/>
              <w:left w:type="dxa" w:w="60"/>
              <w:bottom w:type="dxa" w:w="50"/>
              <w:right w:type="dxa" w:w="60"/>
            </w:tcMar>
            <w:vAlign w:val="center"/>
          </w:tcPr>
          <w:p>
            <w:r>
              <w:rPr>
                <w:b w:val="false"/>
                <w:bCs w:val="false"/>
                <w:color w:val="222222"/>
                <w:sz w:val="14"/>
                <w:szCs w:val="14"/>
              </w:rPr>
              <w:t xml:space="preserve">499.729 participantes, NIH-AARP Diet and Health Study</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Exercício (sim/não, autorrelato)</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Câncer</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residencial estimada a PM2,5 associa-se a risco elevado de câncer de fígado, sobretudo carcinoma hepatocelular, com risco significativamente maior entre participantes que não praticavam exercício físico.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Liu X (2024)</w:t>
            </w:r>
          </w:p>
        </w:tc>
        <w:tc>
          <w:tcPr>
            <w:tcW w:type="dxa" w:w="800"/>
            <w:tcMar>
              <w:top w:type="dxa" w:w="50"/>
              <w:left w:type="dxa" w:w="60"/>
              <w:bottom w:type="dxa" w:w="50"/>
              <w:right w:type="dxa" w:w="60"/>
            </w:tcMar>
            <w:vAlign w:val="center"/>
          </w:tcPr>
          <w:p>
            <w:r>
              <w:rPr>
                <w:b w:val="false"/>
                <w:bCs w:val="false"/>
                <w:color w:val="222222"/>
                <w:sz w:val="14"/>
                <w:szCs w:val="14"/>
              </w:rPr>
              <w:t xml:space="preserve">Índia</w:t>
            </w:r>
          </w:p>
        </w:tc>
        <w:tc>
          <w:tcPr>
            <w:tcW w:type="dxa" w:w="2100"/>
            <w:tcMar>
              <w:top w:type="dxa" w:w="50"/>
              <w:left w:type="dxa" w:w="60"/>
              <w:bottom w:type="dxa" w:w="50"/>
              <w:right w:type="dxa" w:w="60"/>
            </w:tcMar>
            <w:vAlign w:val="center"/>
          </w:tcPr>
          <w:p>
            <w:r>
              <w:rPr>
                <w:b w:val="false"/>
                <w:bCs w:val="false"/>
                <w:color w:val="222222"/>
                <w:sz w:val="14"/>
                <w:szCs w:val="14"/>
              </w:rPr>
              <w:t xml:space="preserve">64.398 participantes ≥45 anos, LASI onda 1 (2017-2018)</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w:t>
            </w:r>
          </w:p>
        </w:tc>
        <w:tc>
          <w:tcPr>
            <w:tcW w:type="dxa" w:w="1150"/>
            <w:tcMar>
              <w:top w:type="dxa" w:w="50"/>
              <w:left w:type="dxa" w:w="60"/>
              <w:bottom w:type="dxa" w:w="50"/>
              <w:right w:type="dxa" w:w="60"/>
            </w:tcMar>
            <w:vAlign w:val="center"/>
          </w:tcPr>
          <w:p>
            <w:r>
              <w:rPr>
                <w:b w:val="false"/>
                <w:bCs w:val="false"/>
                <w:color w:val="222222"/>
                <w:sz w:val="14"/>
                <w:szCs w:val="14"/>
              </w:rPr>
              <w:t xml:space="preserve">Poluição do ar doméstica (combustíveis sólidos)</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urológicas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O uso de combustíveis sólidos poluentes no domicílio associa-se a maior probabilidade de sintomas de incontinência urinária e de incontinência urinária de esforço, com interação significativa observada para o nível de atividade física, entre outros fatores.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Zhang Y (2024)</w:t>
            </w:r>
          </w:p>
        </w:tc>
        <w:tc>
          <w:tcPr>
            <w:tcW w:type="dxa" w:w="800"/>
            <w:tcMar>
              <w:top w:type="dxa" w:w="50"/>
              <w:left w:type="dxa" w:w="60"/>
              <w:bottom w:type="dxa" w:w="50"/>
              <w:right w:type="dxa" w:w="60"/>
            </w:tcMar>
            <w:vAlign w:val="center"/>
          </w:tcPr>
          <w:p>
            <w:r>
              <w:rPr>
                <w:b w:val="false"/>
                <w:bCs w:val="false"/>
                <w:color w:val="222222"/>
                <w:sz w:val="14"/>
                <w:szCs w:val="14"/>
              </w:rPr>
              <w:t xml:space="preserve">Reino Unido</w:t>
            </w:r>
          </w:p>
        </w:tc>
        <w:tc>
          <w:tcPr>
            <w:tcW w:type="dxa" w:w="2100"/>
            <w:tcMar>
              <w:top w:type="dxa" w:w="50"/>
              <w:left w:type="dxa" w:w="60"/>
              <w:bottom w:type="dxa" w:w="50"/>
              <w:right w:type="dxa" w:w="60"/>
            </w:tcMar>
            <w:vAlign w:val="center"/>
          </w:tcPr>
          <w:p>
            <w:r>
              <w:rPr>
                <w:b w:val="false"/>
                <w:bCs w:val="false"/>
                <w:color w:val="222222"/>
                <w:sz w:val="14"/>
                <w:szCs w:val="14"/>
              </w:rPr>
              <w:t xml:space="preserve">155.828 idosos ≥60 anos, UK Biobank</w:t>
            </w:r>
          </w:p>
        </w:tc>
        <w:tc>
          <w:tcPr>
            <w:tcW w:type="dxa" w:w="650"/>
            <w:tcMar>
              <w:top w:type="dxa" w:w="50"/>
              <w:left w:type="dxa" w:w="60"/>
              <w:bottom w:type="dxa" w:w="50"/>
              <w:right w:type="dxa" w:w="60"/>
            </w:tcMar>
            <w:vAlign w:val="center"/>
          </w:tcPr>
          <w:p>
            <w:r>
              <w:rPr>
                <w:b w:val="false"/>
                <w:bCs w:val="false"/>
                <w:color w:val="222222"/>
                <w:sz w:val="14"/>
                <w:szCs w:val="14"/>
              </w:rPr>
              <w:t xml:space="preserve">≥60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(nível de AF baixo/moderado/alto)</w:t>
            </w:r>
          </w:p>
        </w:tc>
        <w:tc>
          <w:tcPr>
            <w:tcW w:type="dxa" w:w="1150"/>
            <w:tcMar>
              <w:top w:type="dxa" w:w="50"/>
              <w:left w:type="dxa" w:w="60"/>
              <w:bottom w:type="dxa" w:w="50"/>
              <w:right w:type="dxa" w:w="60"/>
            </w:tcMar>
            <w:vAlign w:val="center"/>
          </w:tcPr>
          <w:p>
            <w:r>
              <w:rPr>
                <w:b w:val="false"/>
                <w:bCs w:val="false"/>
                <w:color w:val="222222"/>
                <w:sz w:val="14"/>
                <w:szCs w:val="14"/>
              </w:rPr>
              <w:t xml:space="preserve">NO2, NOx, PM1, PM2.5,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 NO2, NOx e material particulado associa-se a maior risco de demência incidente em idosos, mas níveis moderados a altos de atividade física atenuam significativa ou marginalmente essa associação para o risco de doença de Alzheimer.</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Chen CH (2024)</w:t>
            </w:r>
          </w:p>
        </w:tc>
        <w:tc>
          <w:tcPr>
            <w:tcW w:type="dxa" w:w="800"/>
            <w:tcMar>
              <w:top w:type="dxa" w:w="50"/>
              <w:left w:type="dxa" w:w="60"/>
              <w:bottom w:type="dxa" w:w="50"/>
              <w:right w:type="dxa" w:w="60"/>
            </w:tcMar>
            <w:vAlign w:val="center"/>
          </w:tcPr>
          <w:p>
            <w:r>
              <w:rPr>
                <w:b w:val="false"/>
                <w:bCs w:val="false"/>
                <w:color w:val="222222"/>
                <w:sz w:val="14"/>
                <w:szCs w:val="14"/>
              </w:rPr>
              <w:t xml:space="preserve">Taiwan</w:t>
            </w:r>
          </w:p>
        </w:tc>
        <w:tc>
          <w:tcPr>
            <w:tcW w:type="dxa" w:w="2100"/>
            <w:tcMar>
              <w:top w:type="dxa" w:w="50"/>
              <w:left w:type="dxa" w:w="60"/>
              <w:bottom w:type="dxa" w:w="50"/>
              <w:right w:type="dxa" w:w="60"/>
            </w:tcMar>
            <w:vAlign w:val="center"/>
          </w:tcPr>
          <w:p>
            <w:r>
              <w:rPr>
                <w:b w:val="false"/>
                <w:bCs w:val="false"/>
                <w:color w:val="222222"/>
                <w:sz w:val="14"/>
                <w:szCs w:val="14"/>
              </w:rPr>
              <w:t xml:space="preserve">97 idosos &gt;65 anos, bacia de Taipei</w:t>
            </w:r>
          </w:p>
        </w:tc>
        <w:tc>
          <w:tcPr>
            <w:tcW w:type="dxa" w:w="650"/>
            <w:tcMar>
              <w:top w:type="dxa" w:w="50"/>
              <w:left w:type="dxa" w:w="60"/>
              <w:bottom w:type="dxa" w:w="50"/>
              <w:right w:type="dxa" w:w="60"/>
            </w:tcMar>
            <w:vAlign w:val="center"/>
          </w:tcPr>
          <w:p>
            <w:r>
              <w:rPr>
                <w:b w:val="false"/>
                <w:bCs w:val="false"/>
                <w:color w:val="222222"/>
                <w:sz w:val="14"/>
                <w:szCs w:val="14"/>
              </w:rPr>
              <w:t xml:space="preserve">&gt;65 anos</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Contagem de passos por dispositivo vestível (smartwatch Garmin) e frequência de AF</w:t>
            </w:r>
          </w:p>
        </w:tc>
        <w:tc>
          <w:tcPr>
            <w:tcW w:type="dxa" w:w="1150"/>
            <w:tcMar>
              <w:top w:type="dxa" w:w="50"/>
              <w:left w:type="dxa" w:w="60"/>
              <w:bottom w:type="dxa" w:w="50"/>
              <w:right w:type="dxa" w:w="60"/>
            </w:tcMar>
            <w:vAlign w:val="center"/>
          </w:tcPr>
          <w:p>
            <w:r>
              <w:rPr>
                <w:b w:val="false"/>
                <w:bCs w:val="false"/>
                <w:color w:val="222222"/>
                <w:sz w:val="14"/>
                <w:szCs w:val="14"/>
              </w:rPr>
              <w:t xml:space="preserve">CO, NO2 (poluição relacionada ao tráfego)</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prolongada à poluição relacionada ao tráfego associa-se a aumento cumulativo da frequência cardíaca de repouso em idosos, com efeito amplificado entre homens, hipertensos, diabéticos e indivíduos com menor nível de atividade física.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Song J (2022)</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34 idosos aposentados saudáveis, Xinxiang, China</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 (intensidade de AF usada em estratificação)</w:t>
            </w:r>
          </w:p>
        </w:tc>
        <w:tc>
          <w:tcPr>
            <w:tcW w:type="dxa" w:w="1150"/>
            <w:tcMar>
              <w:top w:type="dxa" w:w="50"/>
              <w:left w:type="dxa" w:w="60"/>
              <w:bottom w:type="dxa" w:w="50"/>
              <w:right w:type="dxa" w:w="60"/>
            </w:tcMar>
            <w:vAlign w:val="center"/>
          </w:tcPr>
          <w:p>
            <w:r>
              <w:rPr>
                <w:b w:val="false"/>
                <w:bCs w:val="false"/>
                <w:color w:val="222222"/>
                <w:sz w:val="14"/>
                <w:szCs w:val="14"/>
              </w:rPr>
              <w:t xml:space="preserve">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neurológicos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aguda a dióxido de nitrogênio associou-se a elevação de biomarcadores séricos de dano neural (NfL, PGP9.5, BDNF) em idosos saudáveis; o resumo não relata resultado específico da estratificação por intensidade de atividade física sobre essas associações.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Xu T (2023)</w:t>
            </w:r>
          </w:p>
        </w:tc>
        <w:tc>
          <w:tcPr>
            <w:tcW w:type="dxa" w:w="800"/>
            <w:tcMar>
              <w:top w:type="dxa" w:w="50"/>
              <w:left w:type="dxa" w:w="60"/>
              <w:bottom w:type="dxa" w:w="50"/>
              <w:right w:type="dxa" w:w="60"/>
            </w:tcMar>
            <w:vAlign w:val="center"/>
          </w:tcPr>
          <w:p>
            <w:r>
              <w:rPr>
                <w:b w:val="false"/>
                <w:bCs w:val="false"/>
                <w:color w:val="222222"/>
                <w:sz w:val="14"/>
                <w:szCs w:val="14"/>
              </w:rPr>
              <w:t xml:space="preserve">China e México</w:t>
            </w:r>
          </w:p>
        </w:tc>
        <w:tc>
          <w:tcPr>
            <w:tcW w:type="dxa" w:w="2100"/>
            <w:tcMar>
              <w:top w:type="dxa" w:w="50"/>
              <w:left w:type="dxa" w:w="60"/>
              <w:bottom w:type="dxa" w:w="50"/>
              <w:right w:type="dxa" w:w="60"/>
            </w:tcMar>
            <w:vAlign w:val="center"/>
          </w:tcPr>
          <w:p>
            <w:r>
              <w:rPr>
                <w:b w:val="false"/>
                <w:bCs w:val="false"/>
                <w:color w:val="222222"/>
                <w:sz w:val="14"/>
                <w:szCs w:val="14"/>
              </w:rPr>
              <w:t xml:space="preserve">Três coortes: CFPS (China), CHARLS (China) e MHAS (México), adultos &gt;50 anos</w:t>
            </w:r>
          </w:p>
        </w:tc>
        <w:tc>
          <w:tcPr>
            <w:tcW w:type="dxa" w:w="650"/>
            <w:tcMar>
              <w:top w:type="dxa" w:w="50"/>
              <w:left w:type="dxa" w:w="60"/>
              <w:bottom w:type="dxa" w:w="50"/>
              <w:right w:type="dxa" w:w="60"/>
            </w:tcMar>
            <w:vAlign w:val="center"/>
          </w:tcPr>
          <w:p>
            <w:r>
              <w:rPr>
                <w:b w:val="false"/>
                <w:bCs w:val="false"/>
                <w:color w:val="222222"/>
                <w:sz w:val="14"/>
                <w:szCs w:val="14"/>
              </w:rPr>
              <w:t xml:space="preserve">&gt;50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NR (mediador, não detalhado)</w:t>
            </w:r>
          </w:p>
        </w:tc>
        <w:tc>
          <w:tcPr>
            <w:tcW w:type="dxa" w:w="1150"/>
            <w:tcMar>
              <w:top w:type="dxa" w:w="50"/>
              <w:left w:type="dxa" w:w="60"/>
              <w:bottom w:type="dxa" w:w="50"/>
              <w:right w:type="dxa" w:w="60"/>
            </w:tcMar>
            <w:vAlign w:val="center"/>
          </w:tcPr>
          <w:p>
            <w:r>
              <w:rPr>
                <w:b w:val="false"/>
                <w:bCs w:val="false"/>
                <w:color w:val="222222"/>
                <w:sz w:val="14"/>
                <w:szCs w:val="14"/>
              </w:rPr>
              <w:t xml:space="preserve">Poluição do ar doméstica (combustível sólido de cozinha)</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Transtornos cognitivos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O uso de combustível sólido de cozinha associa-se consistentemente a maior risco de declínio cognitivo em três coortes (China e México), sendo a atividade física, entre outros fatores, um mediador parcial dessa associação.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Jiang H (2023)</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4.537 participantes ≥45 anos (12.011 observações), CHARLS 2011-2015</w:t>
            </w:r>
          </w:p>
        </w:tc>
        <w:tc>
          <w:tcPr>
            <w:tcW w:type="dxa" w:w="650"/>
            <w:tcMar>
              <w:top w:type="dxa" w:w="50"/>
              <w:left w:type="dxa" w:w="60"/>
              <w:bottom w:type="dxa" w:w="50"/>
              <w:right w:type="dxa" w:w="60"/>
            </w:tcMar>
            <w:vAlign w:val="center"/>
          </w:tcPr>
          <w:p>
            <w:r>
              <w:rPr>
                <w:b w:val="false"/>
                <w:bCs w:val="false"/>
                <w:color w:val="222222"/>
                <w:sz w:val="14"/>
                <w:szCs w:val="14"/>
              </w:rPr>
              <w:t xml:space="preserve">≥45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MVPA estimada por MET (questionário)</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atividade física atenuou a associação negativa entre PM2,5 e função física (força de preensão, marcha, equilíbrio, sentar-levantar) tanto em níveis altos quanto baixos de poluição, revertendo os efeitos deletérios da exposição.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Sun D (2023)</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322.399 participantes 30-79 anos (118.274 não agricultores e 204.125 agricultores), China Kadoorie Biobank</w:t>
            </w:r>
          </w:p>
        </w:tc>
        <w:tc>
          <w:tcPr>
            <w:tcW w:type="dxa" w:w="650"/>
            <w:tcMar>
              <w:top w:type="dxa" w:w="50"/>
              <w:left w:type="dxa" w:w="60"/>
              <w:bottom w:type="dxa" w:w="50"/>
              <w:right w:type="dxa" w:w="60"/>
            </w:tcMar>
            <w:vAlign w:val="center"/>
          </w:tcPr>
          <w:p>
            <w:r>
              <w:rPr>
                <w:b w:val="false"/>
                <w:bCs w:val="false"/>
                <w:color w:val="222222"/>
                <w:sz w:val="14"/>
                <w:szCs w:val="14"/>
              </w:rPr>
              <w:t xml:space="preserve">30-79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Deslocamento ativo e atividade agrícola (questionário)</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Open</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cardiovasculares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Em áreas com PM2,5 abaixo de 54 µg/m³, deslocamento ativo e atividade agrícola associam-se a menor risco de doença cerebrovascular e cardiopatia isquêmica, mas em exposição igual ou superior a esse limiar o benefício desaparece e, entre agricultores, o risco de AVC chega a aumentar com maior atividade física.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Guo Q (2022)</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13.032 indivíduos ≥45 anos</w:t>
            </w:r>
          </w:p>
        </w:tc>
        <w:tc>
          <w:tcPr>
            <w:tcW w:type="dxa" w:w="650"/>
            <w:tcMar>
              <w:top w:type="dxa" w:w="50"/>
              <w:left w:type="dxa" w:w="60"/>
              <w:bottom w:type="dxa" w:w="50"/>
              <w:right w:type="dxa" w:w="60"/>
            </w:tcMar>
            <w:vAlign w:val="center"/>
          </w:tcPr>
          <w:p>
            <w:r>
              <w:rPr>
                <w:b w:val="false"/>
                <w:bCs w:val="false"/>
                <w:color w:val="222222"/>
                <w:sz w:val="14"/>
                <w:szCs w:val="14"/>
              </w:rPr>
              <w:t xml:space="preserve">60,4±9,4 anos</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Questionário autorrelatado (caminhada, AF moderada, AF vigorosa)</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respiratórias</w:t>
            </w:r>
          </w:p>
        </w:tc>
        <w:tc>
          <w:tcPr>
            <w:tcW w:type="dxa" w:w="800"/>
            <w:tcMar>
              <w:top w:type="dxa" w:w="50"/>
              <w:left w:type="dxa" w:w="60"/>
              <w:bottom w:type="dxa" w:w="50"/>
              <w:right w:type="dxa" w:w="60"/>
            </w:tcMar>
            <w:vAlign w:val="center"/>
          </w:tcPr>
          <w:p>
            <w:r>
              <w:rPr>
                <w:b/>
                <w:bCs/>
                <w:color w:val="C0504D"/>
                <w:sz w:val="14"/>
                <w:szCs w:val="14"/>
              </w:rPr>
              <w:t xml:space="preserve">Risco encontrado</w:t>
            </w:r>
          </w:p>
        </w:tc>
        <w:tc>
          <w:tcPr>
            <w:tcW w:type="dxa" w:w="3398"/>
            <w:tcMar>
              <w:top w:type="dxa" w:w="50"/>
              <w:left w:type="dxa" w:w="60"/>
              <w:bottom w:type="dxa" w:w="50"/>
              <w:right w:type="dxa" w:w="60"/>
            </w:tcMar>
            <w:vAlign w:val="center"/>
          </w:tcPr>
          <w:p>
            <w:r>
              <w:rPr>
                <w:b w:val="false"/>
                <w:bCs w:val="false"/>
                <w:color w:val="222222"/>
                <w:sz w:val="14"/>
                <w:szCs w:val="14"/>
              </w:rPr>
              <w:t xml:space="preserve">Os efeitos deletérios do PM2,5 sobre a função pulmonar (fluxo expiratório de pico) superam os benefícios da atividade física acima de limiares aproximados de 81 µg/m³ para caminhada e 77 µg/m³ para AF vigorosa, revertendo a associação benéfica da AF em ambientes muito poluídos.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c>
          <w:tcPr>
            <w:tcW w:type="dxa" w:w="1300"/>
            <w:tcMar>
              <w:top w:type="dxa" w:w="50"/>
              <w:left w:type="dxa" w:w="60"/>
              <w:bottom w:type="dxa" w:w="50"/>
              <w:right w:type="dxa" w:w="60"/>
            </w:tcMar>
            <w:vAlign w:val="center"/>
          </w:tcPr>
          <w:p>
            <w:r>
              <w:rPr>
                <w:b w:val="false"/>
                <w:bCs w:val="false"/>
                <w:color w:val="222222"/>
                <w:sz w:val="14"/>
                <w:szCs w:val="14"/>
              </w:rPr>
              <w:t xml:space="preserve">Liu X (2022)</w:t>
            </w:r>
          </w:p>
        </w:tc>
        <w:tc>
          <w:tcPr>
            <w:tcW w:type="dxa" w:w="800"/>
            <w:tcMar>
              <w:top w:type="dxa" w:w="50"/>
              <w:left w:type="dxa" w:w="60"/>
              <w:bottom w:type="dxa" w:w="50"/>
              <w:right w:type="dxa" w:w="60"/>
            </w:tcMar>
            <w:vAlign w:val="center"/>
          </w:tcPr>
          <w:p>
            <w:r>
              <w:rPr>
                <w:b w:val="false"/>
                <w:bCs w:val="false"/>
                <w:color w:val="222222"/>
                <w:sz w:val="14"/>
                <w:szCs w:val="14"/>
              </w:rPr>
              <w:t xml:space="preserve">China</w:t>
            </w:r>
          </w:p>
        </w:tc>
        <w:tc>
          <w:tcPr>
            <w:tcW w:type="dxa" w:w="2100"/>
            <w:tcMar>
              <w:top w:type="dxa" w:w="50"/>
              <w:left w:type="dxa" w:w="60"/>
              <w:bottom w:type="dxa" w:w="50"/>
              <w:right w:type="dxa" w:w="60"/>
            </w:tcMar>
            <w:vAlign w:val="center"/>
          </w:tcPr>
          <w:p>
            <w:r>
              <w:rPr>
                <w:b w:val="false"/>
                <w:bCs w:val="false"/>
                <w:color w:val="222222"/>
                <w:sz w:val="14"/>
                <w:szCs w:val="14"/>
              </w:rPr>
              <w:t xml:space="preserve">39.192 participantes, Henan Rural Cohort Study</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w:t>
            </w:r>
          </w:p>
        </w:tc>
        <w:tc>
          <w:tcPr>
            <w:tcW w:type="dxa" w:w="1350"/>
            <w:tcMar>
              <w:top w:type="dxa" w:w="50"/>
              <w:left w:type="dxa" w:w="60"/>
              <w:bottom w:type="dxa" w:w="50"/>
              <w:right w:type="dxa" w:w="60"/>
            </w:tcMar>
            <w:vAlign w:val="center"/>
          </w:tcPr>
          <w:p>
            <w:r>
              <w:rPr>
                <w:b w:val="false"/>
                <w:bCs w:val="false"/>
                <w:color w:val="222222"/>
                <w:sz w:val="14"/>
                <w:szCs w:val="14"/>
              </w:rPr>
              <w:t xml:space="preserve">NR (nível de AF)</w:t>
            </w:r>
          </w:p>
        </w:tc>
        <w:tc>
          <w:tcPr>
            <w:tcW w:type="dxa" w:w="1150"/>
            <w:tcMar>
              <w:top w:type="dxa" w:w="50"/>
              <w:left w:type="dxa" w:w="60"/>
              <w:bottom w:type="dxa" w:w="50"/>
              <w:right w:type="dxa" w:w="60"/>
            </w:tcMar>
            <w:vAlign w:val="center"/>
          </w:tcPr>
          <w:p>
            <w:r>
              <w:rPr>
                <w:b w:val="false"/>
                <w:bCs w:val="false"/>
                <w:color w:val="222222"/>
                <w:sz w:val="14"/>
                <w:szCs w:val="14"/>
              </w:rPr>
              <w:t xml:space="preserve">O3</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Doenças crônicas</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A exposição ao ozônio associa-se a maior risco de diabetes tipo 2 e a maiores níveis de glicemia de jejum, mas esses efeitos diminuem à medida que aumenta o nível de atividade física, com interação aditiva antagônica entre ozônio e AF sobre o risco de diabetes.</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108 (incerto→mantido, Scopus/WoS via PubMed)</w:t>
            </w:r>
          </w:p>
        </w:tc>
        <w:tc>
          <w:tcPr>
            <w:tcW w:type="dxa" w:w="1300"/>
            <w:tcMar>
              <w:top w:type="dxa" w:w="50"/>
              <w:left w:type="dxa" w:w="60"/>
              <w:bottom w:type="dxa" w:w="50"/>
              <w:right w:type="dxa" w:w="60"/>
            </w:tcMar>
            <w:vAlign w:val="center"/>
          </w:tcPr>
          <w:p>
            <w:r>
              <w:rPr>
                <w:b w:val="false"/>
                <w:bCs w:val="false"/>
                <w:color w:val="222222"/>
                <w:sz w:val="14"/>
                <w:szCs w:val="14"/>
              </w:rPr>
              <w:t xml:space="preserve">An R (2020)</w:t>
            </w:r>
          </w:p>
        </w:tc>
        <w:tc>
          <w:tcPr>
            <w:tcW w:type="dxa" w:w="800"/>
            <w:tcMar>
              <w:top w:type="dxa" w:w="50"/>
              <w:left w:type="dxa" w:w="60"/>
              <w:bottom w:type="dxa" w:w="50"/>
              <w:right w:type="dxa" w:w="60"/>
            </w:tcMar>
            <w:vAlign w:val="center"/>
          </w:tcPr>
          <w:p>
            <w:r>
              <w:rPr>
                <w:b w:val="false"/>
                <w:bCs w:val="false"/>
                <w:color w:val="222222"/>
                <w:sz w:val="14"/>
                <w:szCs w:val="14"/>
              </w:rPr>
              <w:t xml:space="preserve">NR</w:t>
            </w:r>
          </w:p>
        </w:tc>
        <w:tc>
          <w:tcPr>
            <w:tcW w:type="dxa" w:w="2100"/>
            <w:tcMar>
              <w:top w:type="dxa" w:w="50"/>
              <w:left w:type="dxa" w:w="60"/>
              <w:bottom w:type="dxa" w:w="50"/>
              <w:right w:type="dxa" w:w="60"/>
            </w:tcMar>
            <w:vAlign w:val="center"/>
          </w:tcPr>
          <w:p>
            <w:r>
              <w:rPr>
                <w:b w:val="false"/>
                <w:bCs w:val="false"/>
                <w:color w:val="222222"/>
                <w:sz w:val="14"/>
                <w:szCs w:val="14"/>
              </w:rPr>
              <w:t xml:space="preserve">Análise de modelagem risco-benefício (não é coorte específica); subgrupo de adultos ≥60 anos analisado</w:t>
            </w:r>
          </w:p>
        </w:tc>
        <w:tc>
          <w:tcPr>
            <w:tcW w:type="dxa" w:w="650"/>
            <w:tcMar>
              <w:top w:type="dxa" w:w="50"/>
              <w:left w:type="dxa" w:w="60"/>
              <w:bottom w:type="dxa" w:w="50"/>
              <w:right w:type="dxa" w:w="60"/>
            </w:tcMar>
            <w:vAlign w:val="center"/>
          </w:tcPr>
          <w:p>
            <w:r>
              <w:rPr>
                <w:b w:val="false"/>
                <w:bCs w:val="false"/>
                <w:color w:val="222222"/>
                <w:sz w:val="14"/>
                <w:szCs w:val="14"/>
              </w:rPr>
              <w:t xml:space="preserve">≥60 anos (subgrupo)</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AF moderada ao ar livre (MPA) - modelagem</w:t>
            </w:r>
          </w:p>
        </w:tc>
        <w:tc>
          <w:tcPr>
            <w:tcW w:type="dxa" w:w="1150"/>
            <w:tcMar>
              <w:top w:type="dxa" w:w="50"/>
              <w:left w:type="dxa" w:w="60"/>
              <w:bottom w:type="dxa" w:w="50"/>
              <w:right w:type="dxa" w:w="60"/>
            </w:tcMar>
            <w:vAlign w:val="center"/>
          </w:tcPr>
          <w:p>
            <w:r>
              <w:rPr>
                <w:b w:val="false"/>
                <w:bCs w:val="false"/>
                <w:color w:val="222222"/>
                <w:sz w:val="14"/>
                <w:szCs w:val="14"/>
              </w:rPr>
              <w:t xml:space="preserve">PM2.5</w:t>
            </w:r>
          </w:p>
        </w:tc>
        <w:tc>
          <w:tcPr>
            <w:tcW w:type="dxa" w:w="550"/>
            <w:tcMar>
              <w:top w:type="dxa" w:w="50"/>
              <w:left w:type="dxa" w:w="60"/>
              <w:bottom w:type="dxa" w:w="50"/>
              <w:right w:type="dxa" w:w="60"/>
            </w:tcMar>
            <w:vAlign w:val="center"/>
          </w:tcPr>
          <w:p>
            <w:r>
              <w:rPr>
                <w:b w:val="false"/>
                <w:bCs w:val="false"/>
                <w:color w:val="222222"/>
                <w:sz w:val="14"/>
                <w:szCs w:val="14"/>
              </w:rPr>
              <w:t xml:space="preserve">Open</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Desfechos gerais de saúde</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O benefício da atividade física moderada ao ar livre supera o risco da exposição a PM2,5 na concentração média urbana global de referência, mas essa margem diminui de forma mais acentuada em adultos com 60 anos ou mais, cuja duração ótima de AF cai para 2,5 h/semana já a partir de 45 µg/m³ de PM2,5.</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12 (mantido por título, pendente resolvido)</w:t>
            </w:r>
          </w:p>
        </w:tc>
        <w:tc>
          <w:tcPr>
            <w:tcW w:type="dxa" w:w="1300"/>
            <w:tcMar>
              <w:top w:type="dxa" w:w="50"/>
              <w:left w:type="dxa" w:w="60"/>
              <w:bottom w:type="dxa" w:w="50"/>
              <w:right w:type="dxa" w:w="60"/>
            </w:tcMar>
            <w:vAlign w:val="center"/>
          </w:tcPr>
          <w:p>
            <w:r>
              <w:rPr>
                <w:b w:val="false"/>
                <w:bCs w:val="false"/>
                <w:color w:val="222222"/>
                <w:sz w:val="14"/>
                <w:szCs w:val="14"/>
              </w:rPr>
              <w:t xml:space="preserve">Doubleday A (2025)</w:t>
            </w:r>
          </w:p>
        </w:tc>
        <w:tc>
          <w:tcPr>
            <w:tcW w:type="dxa" w:w="800"/>
            <w:tcMar>
              <w:top w:type="dxa" w:w="50"/>
              <w:left w:type="dxa" w:w="60"/>
              <w:bottom w:type="dxa" w:w="50"/>
              <w:right w:type="dxa" w:w="60"/>
            </w:tcMar>
            <w:vAlign w:val="center"/>
          </w:tcPr>
          <w:p>
            <w:r>
              <w:rPr>
                <w:b w:val="false"/>
                <w:bCs w:val="false"/>
                <w:color w:val="222222"/>
                <w:sz w:val="14"/>
                <w:szCs w:val="14"/>
              </w:rPr>
              <w:t xml:space="preserve">EUA</w:t>
            </w:r>
          </w:p>
        </w:tc>
        <w:tc>
          <w:tcPr>
            <w:tcW w:type="dxa" w:w="2100"/>
            <w:tcMar>
              <w:top w:type="dxa" w:w="50"/>
              <w:left w:type="dxa" w:w="60"/>
              <w:bottom w:type="dxa" w:w="50"/>
              <w:right w:type="dxa" w:w="60"/>
            </w:tcMar>
            <w:vAlign w:val="center"/>
          </w:tcPr>
          <w:p>
            <w:r>
              <w:rPr>
                <w:b w:val="false"/>
                <w:bCs w:val="false"/>
                <w:color w:val="222222"/>
                <w:sz w:val="14"/>
                <w:szCs w:val="14"/>
              </w:rPr>
              <w:t xml:space="preserve">5.305 idosos, coorte Adult Changes in Thought (ACT), Puget Sound, EUA, 1994-2020</w:t>
            </w:r>
          </w:p>
        </w:tc>
        <w:tc>
          <w:tcPr>
            <w:tcW w:type="dxa" w:w="650"/>
            <w:tcMar>
              <w:top w:type="dxa" w:w="50"/>
              <w:left w:type="dxa" w:w="60"/>
              <w:bottom w:type="dxa" w:w="50"/>
              <w:right w:type="dxa" w:w="60"/>
            </w:tcMar>
            <w:vAlign w:val="center"/>
          </w:tcPr>
          <w:p>
            <w:r>
              <w:rPr>
                <w:b w:val="false"/>
                <w:bCs w:val="false"/>
                <w:color w:val="222222"/>
                <w:sz w:val="14"/>
                <w:szCs w:val="14"/>
              </w:rPr>
              <w:t xml:space="preserve">NR</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desempenho físico objetivo (SPPB: marcha, preensão manual, levantar da cadeira)</w:t>
            </w:r>
          </w:p>
        </w:tc>
        <w:tc>
          <w:tcPr>
            <w:tcW w:type="dxa" w:w="1150"/>
            <w:tcMar>
              <w:top w:type="dxa" w:w="50"/>
              <w:left w:type="dxa" w:w="60"/>
              <w:bottom w:type="dxa" w:w="50"/>
              <w:right w:type="dxa" w:w="60"/>
            </w:tcMar>
            <w:vAlign w:val="center"/>
          </w:tcPr>
          <w:p>
            <w:r>
              <w:rPr>
                <w:b w:val="false"/>
                <w:bCs w:val="false"/>
                <w:color w:val="222222"/>
                <w:sz w:val="14"/>
                <w:szCs w:val="14"/>
              </w:rPr>
              <w:t xml:space="preserve">poluentes de tráfego: black carbon, NO2, partículas ultrafinas</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Urbano (região metropolitana de Seattle)</w:t>
            </w:r>
          </w:p>
        </w:tc>
        <w:tc>
          <w:tcPr>
            <w:tcW w:type="dxa" w:w="1200"/>
            <w:tcMar>
              <w:top w:type="dxa" w:w="50"/>
              <w:left w:type="dxa" w:w="60"/>
              <w:bottom w:type="dxa" w:w="50"/>
              <w:right w:type="dxa" w:w="60"/>
            </w:tcMar>
            <w:vAlign w:val="center"/>
          </w:tcPr>
          <w:p>
            <w:r>
              <w:rPr>
                <w:b w:val="false"/>
                <w:bCs w:val="false"/>
                <w:color w:val="222222"/>
                <w:sz w:val="14"/>
                <w:szCs w:val="14"/>
              </w:rPr>
              <w:t xml:space="preserve">Desempenho físico / capacidade funcional</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Maior exposição de longo prazo a black carbon e NO2 de origem veicular associou-se a declínio mais rápido no desempenho físico ao longo do tempo, equivalente a até 2,6 meses de envelhecimento funcional adicional em 5 anos; partículas ultrafinas não mostraram associação.</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12 (mantido por título, pendente resolvido)</w:t>
            </w:r>
          </w:p>
        </w:tc>
        <w:tc>
          <w:tcPr>
            <w:tcW w:type="dxa" w:w="1300"/>
            <w:tcMar>
              <w:top w:type="dxa" w:w="50"/>
              <w:left w:type="dxa" w:w="60"/>
              <w:bottom w:type="dxa" w:w="50"/>
              <w:right w:type="dxa" w:w="60"/>
            </w:tcMar>
            <w:vAlign w:val="center"/>
          </w:tcPr>
          <w:p>
            <w:r>
              <w:rPr>
                <w:b w:val="false"/>
                <w:bCs w:val="false"/>
                <w:color w:val="222222"/>
                <w:sz w:val="14"/>
                <w:szCs w:val="14"/>
              </w:rPr>
              <w:t xml:space="preserve">Josa-Culleré A (2024)</w:t>
            </w:r>
          </w:p>
        </w:tc>
        <w:tc>
          <w:tcPr>
            <w:tcW w:type="dxa" w:w="800"/>
            <w:tcMar>
              <w:top w:type="dxa" w:w="50"/>
              <w:left w:type="dxa" w:w="60"/>
              <w:bottom w:type="dxa" w:w="50"/>
              <w:right w:type="dxa" w:w="60"/>
            </w:tcMar>
            <w:vAlign w:val="center"/>
          </w:tcPr>
          <w:p>
            <w:r>
              <w:rPr>
                <w:b w:val="false"/>
                <w:bCs w:val="false"/>
                <w:color w:val="222222"/>
                <w:sz w:val="14"/>
                <w:szCs w:val="14"/>
              </w:rPr>
              <w:t xml:space="preserve">Espanha</w:t>
            </w:r>
          </w:p>
        </w:tc>
        <w:tc>
          <w:tcPr>
            <w:tcW w:type="dxa" w:w="2100"/>
            <w:tcMar>
              <w:top w:type="dxa" w:w="50"/>
              <w:left w:type="dxa" w:w="60"/>
              <w:bottom w:type="dxa" w:w="50"/>
              <w:right w:type="dxa" w:w="60"/>
            </w:tcMar>
            <w:vAlign w:val="center"/>
          </w:tcPr>
          <w:p>
            <w:r>
              <w:rPr>
                <w:b w:val="false"/>
                <w:bCs w:val="false"/>
                <w:color w:val="222222"/>
                <w:sz w:val="14"/>
                <w:szCs w:val="14"/>
              </w:rPr>
              <w:t xml:space="preserve">408 pacientes com DPOC, idade média 68±9 anos, Catalunha</w:t>
            </w:r>
          </w:p>
        </w:tc>
        <w:tc>
          <w:tcPr>
            <w:tcW w:type="dxa" w:w="650"/>
            <w:tcMar>
              <w:top w:type="dxa" w:w="50"/>
              <w:left w:type="dxa" w:w="60"/>
              <w:bottom w:type="dxa" w:w="50"/>
              <w:right w:type="dxa" w:w="60"/>
            </w:tcMar>
            <w:vAlign w:val="center"/>
          </w:tcPr>
          <w:p>
            <w:r>
              <w:rPr>
                <w:b w:val="false"/>
                <w:bCs w:val="false"/>
                <w:color w:val="222222"/>
                <w:sz w:val="14"/>
                <w:szCs w:val="14"/>
              </w:rPr>
              <w:t xml:space="preserve">68±9 anos</w:t>
            </w:r>
          </w:p>
        </w:tc>
        <w:tc>
          <w:tcPr>
            <w:tcW w:type="dxa" w:w="400"/>
            <w:tcMar>
              <w:top w:type="dxa" w:w="50"/>
              <w:left w:type="dxa" w:w="60"/>
              <w:bottom w:type="dxa" w:w="50"/>
              <w:right w:type="dxa" w:w="60"/>
            </w:tcMar>
            <w:vAlign w:val="center"/>
          </w:tcPr>
          <w:p>
            <w:r>
              <w:rPr>
                <w:b w:val="false"/>
                <w:bCs w:val="false"/>
                <w:color w:val="222222"/>
                <w:sz w:val="14"/>
                <w:szCs w:val="14"/>
              </w:rPr>
              <w:t xml:space="preserve">85% masculino</w:t>
            </w:r>
          </w:p>
        </w:tc>
        <w:tc>
          <w:tcPr>
            <w:tcW w:type="dxa" w:w="1350"/>
            <w:tcMar>
              <w:top w:type="dxa" w:w="50"/>
              <w:left w:type="dxa" w:w="60"/>
              <w:bottom w:type="dxa" w:w="50"/>
              <w:right w:type="dxa" w:w="60"/>
            </w:tcMar>
            <w:vAlign w:val="center"/>
          </w:tcPr>
          <w:p>
            <w:r>
              <w:rPr>
                <w:b w:val="false"/>
                <w:bCs w:val="false"/>
                <w:color w:val="222222"/>
                <w:sz w:val="14"/>
                <w:szCs w:val="14"/>
              </w:rPr>
              <w:t xml:space="preserve">passos diários, MVPA, intensidade de locomoção, tempo sedentário (Dynaport MoveMonitor)</w:t>
            </w:r>
          </w:p>
        </w:tc>
        <w:tc>
          <w:tcPr>
            <w:tcW w:type="dxa" w:w="1150"/>
            <w:tcMar>
              <w:top w:type="dxa" w:w="50"/>
              <w:left w:type="dxa" w:w="60"/>
              <w:bottom w:type="dxa" w:w="50"/>
              <w:right w:type="dxa" w:w="60"/>
            </w:tcMar>
            <w:vAlign w:val="center"/>
          </w:tcPr>
          <w:p>
            <w:r>
              <w:rPr>
                <w:b w:val="false"/>
                <w:bCs w:val="false"/>
                <w:color w:val="222222"/>
                <w:sz w:val="14"/>
                <w:szCs w:val="14"/>
              </w:rPr>
              <w:t xml:space="preserve">NO2, PM10, black carbon (absorbância de PM10)</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Urbano (múltiplos centros, Catalunha)</w:t>
            </w:r>
          </w:p>
        </w:tc>
        <w:tc>
          <w:tcPr>
            <w:tcW w:type="dxa" w:w="1200"/>
            <w:tcMar>
              <w:top w:type="dxa" w:w="50"/>
              <w:left w:type="dxa" w:w="60"/>
              <w:bottom w:type="dxa" w:w="50"/>
              <w:right w:type="dxa" w:w="60"/>
            </w:tcMar>
            <w:vAlign w:val="center"/>
          </w:tcPr>
          <w:p>
            <w:r>
              <w:rPr>
                <w:b w:val="false"/>
                <w:bCs w:val="false"/>
                <w:color w:val="222222"/>
                <w:sz w:val="14"/>
                <w:szCs w:val="14"/>
              </w:rPr>
              <w:t xml:space="preserve">Nível de atividade física / comportamento sedentário</w:t>
            </w:r>
          </w:p>
        </w:tc>
        <w:tc>
          <w:tcPr>
            <w:tcW w:type="dxa" w:w="800"/>
            <w:tcMar>
              <w:top w:type="dxa" w:w="50"/>
              <w:left w:type="dxa" w:w="60"/>
              <w:bottom w:type="dxa" w:w="50"/>
              <w:right w:type="dxa" w:w="60"/>
            </w:tcMar>
            <w:vAlign w:val="center"/>
          </w:tcPr>
          <w:p>
            <w:r>
              <w:rPr>
                <w:b/>
                <w:bCs/>
                <w:color w:val="1F7A5C"/>
                <w:sz w:val="14"/>
                <w:szCs w:val="14"/>
              </w:rPr>
              <w:t xml:space="preserve">Benefício mantido</w:t>
            </w:r>
          </w:p>
        </w:tc>
        <w:tc>
          <w:tcPr>
            <w:tcW w:type="dxa" w:w="3398"/>
            <w:tcMar>
              <w:top w:type="dxa" w:w="50"/>
              <w:left w:type="dxa" w:w="60"/>
              <w:bottom w:type="dxa" w:w="50"/>
              <w:right w:type="dxa" w:w="60"/>
            </w:tcMar>
            <w:vAlign w:val="center"/>
          </w:tcPr>
          <w:p>
            <w:r>
              <w:rPr>
                <w:b w:val="false"/>
                <w:bCs w:val="false"/>
                <w:color w:val="222222"/>
                <w:sz w:val="14"/>
                <w:szCs w:val="14"/>
              </w:rPr>
              <w:t xml:space="preserve">Níveis mais altos de NO2, PM10 e black carbon no dia anterior associaram-se a menos passos, menos tempo em MVPA e mais tempo sedentário nos dias seguintes em pacientes com DPOC; temperatura mais alta associou-se a mais atividade física no mesmo dia.</w:t>
            </w:r>
          </w:p>
        </w:tc>
      </w:tr>
      <w:tr>
        <w:tc>
          <w:tcPr>
            <w:tcW w:type="dxa" w:w="1350"/>
            <w:tcMar>
              <w:top w:type="dxa" w:w="50"/>
              <w:left w:type="dxa" w:w="60"/>
              <w:bottom w:type="dxa" w:w="50"/>
              <w:right w:type="dxa" w:w="60"/>
            </w:tcMar>
            <w:vAlign w:val="center"/>
          </w:tcPr>
          <w:p>
            <w:r>
              <w:rPr>
                <w:b w:val="false"/>
                <w:bCs w:val="false"/>
                <w:color w:val="222222"/>
                <w:sz w:val="14"/>
                <w:szCs w:val="14"/>
              </w:rPr>
              <w:t xml:space="preserve">Atualização — lote 12 (mantido por título, pendente resolvido)</w:t>
            </w:r>
          </w:p>
        </w:tc>
        <w:tc>
          <w:tcPr>
            <w:tcW w:type="dxa" w:w="1300"/>
            <w:tcMar>
              <w:top w:type="dxa" w:w="50"/>
              <w:left w:type="dxa" w:w="60"/>
              <w:bottom w:type="dxa" w:w="50"/>
              <w:right w:type="dxa" w:w="60"/>
            </w:tcMar>
            <w:vAlign w:val="center"/>
          </w:tcPr>
          <w:p>
            <w:r>
              <w:rPr>
                <w:b w:val="false"/>
                <w:bCs w:val="false"/>
                <w:color w:val="222222"/>
                <w:sz w:val="14"/>
                <w:szCs w:val="14"/>
              </w:rPr>
              <w:t xml:space="preserve">Park H (2024)</w:t>
            </w:r>
          </w:p>
        </w:tc>
        <w:tc>
          <w:tcPr>
            <w:tcW w:type="dxa" w:w="800"/>
            <w:tcMar>
              <w:top w:type="dxa" w:w="50"/>
              <w:left w:type="dxa" w:w="60"/>
              <w:bottom w:type="dxa" w:w="50"/>
              <w:right w:type="dxa" w:w="60"/>
            </w:tcMar>
            <w:vAlign w:val="center"/>
          </w:tcPr>
          <w:p>
            <w:r>
              <w:rPr>
                <w:b w:val="false"/>
                <w:bCs w:val="false"/>
                <w:color w:val="222222"/>
                <w:sz w:val="14"/>
                <w:szCs w:val="14"/>
              </w:rPr>
              <w:t xml:space="preserve">Coreia do Sul</w:t>
            </w:r>
          </w:p>
        </w:tc>
        <w:tc>
          <w:tcPr>
            <w:tcW w:type="dxa" w:w="2100"/>
            <w:tcMar>
              <w:top w:type="dxa" w:w="50"/>
              <w:left w:type="dxa" w:w="60"/>
              <w:bottom w:type="dxa" w:w="50"/>
              <w:right w:type="dxa" w:w="60"/>
            </w:tcMar>
            <w:vAlign w:val="center"/>
          </w:tcPr>
          <w:p>
            <w:r>
              <w:rPr>
                <w:b w:val="false"/>
                <w:bCs w:val="false"/>
                <w:color w:val="222222"/>
                <w:sz w:val="14"/>
                <w:szCs w:val="14"/>
              </w:rPr>
              <w:t xml:space="preserve">1.856 idosos, idade média 70,9 anos</w:t>
            </w:r>
          </w:p>
        </w:tc>
        <w:tc>
          <w:tcPr>
            <w:tcW w:type="dxa" w:w="650"/>
            <w:tcMar>
              <w:top w:type="dxa" w:w="50"/>
              <w:left w:type="dxa" w:w="60"/>
              <w:bottom w:type="dxa" w:w="50"/>
              <w:right w:type="dxa" w:w="60"/>
            </w:tcMar>
            <w:vAlign w:val="center"/>
          </w:tcPr>
          <w:p>
            <w:r>
              <w:rPr>
                <w:b w:val="false"/>
                <w:bCs w:val="false"/>
                <w:color w:val="222222"/>
                <w:sz w:val="14"/>
                <w:szCs w:val="14"/>
              </w:rPr>
              <w:t xml:space="preserve">70,9 anos (média)</w:t>
            </w:r>
          </w:p>
        </w:tc>
        <w:tc>
          <w:tcPr>
            <w:tcW w:type="dxa" w:w="400"/>
            <w:tcMar>
              <w:top w:type="dxa" w:w="50"/>
              <w:left w:type="dxa" w:w="60"/>
              <w:bottom w:type="dxa" w:w="50"/>
              <w:right w:type="dxa" w:w="60"/>
            </w:tcMar>
            <w:vAlign w:val="center"/>
          </w:tcPr>
          <w:p>
            <w:r>
              <w:rPr>
                <w:b w:val="false"/>
                <w:bCs w:val="false"/>
                <w:color w:val="222222"/>
                <w:sz w:val="14"/>
                <w:szCs w:val="14"/>
              </w:rPr>
              <w:t xml:space="preserve">NR</w:t>
            </w:r>
          </w:p>
        </w:tc>
        <w:tc>
          <w:tcPr>
            <w:tcW w:type="dxa" w:w="1350"/>
            <w:tcMar>
              <w:top w:type="dxa" w:w="50"/>
              <w:left w:type="dxa" w:w="60"/>
              <w:bottom w:type="dxa" w:w="50"/>
              <w:right w:type="dxa" w:w="60"/>
            </w:tcMar>
            <w:vAlign w:val="center"/>
          </w:tcPr>
          <w:p>
            <w:r>
              <w:rPr>
                <w:b w:val="false"/>
                <w:bCs w:val="false"/>
                <w:color w:val="222222"/>
                <w:sz w:val="14"/>
                <w:szCs w:val="14"/>
              </w:rPr>
              <w:t xml:space="preserve">nível de atividade física (METs), manutenção de atividade moderada a vigorosa</w:t>
            </w:r>
          </w:p>
        </w:tc>
        <w:tc>
          <w:tcPr>
            <w:tcW w:type="dxa" w:w="1150"/>
            <w:tcMar>
              <w:top w:type="dxa" w:w="50"/>
              <w:left w:type="dxa" w:w="60"/>
              <w:bottom w:type="dxa" w:w="50"/>
              <w:right w:type="dxa" w:w="60"/>
            </w:tcMar>
            <w:vAlign w:val="center"/>
          </w:tcPr>
          <w:p>
            <w:r>
              <w:rPr>
                <w:b w:val="false"/>
                <w:bCs w:val="false"/>
                <w:color w:val="222222"/>
                <w:sz w:val="14"/>
                <w:szCs w:val="14"/>
              </w:rPr>
              <w:t xml:space="preserve">PM10, PM2.5, NO2</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550"/>
            <w:tcMar>
              <w:top w:type="dxa" w:w="50"/>
              <w:left w:type="dxa" w:w="60"/>
              <w:bottom w:type="dxa" w:w="50"/>
              <w:right w:type="dxa" w:w="60"/>
            </w:tcMar>
            <w:vAlign w:val="center"/>
          </w:tcPr>
          <w:p>
            <w:r>
              <w:rPr>
                <w:b w:val="false"/>
                <w:bCs w:val="false"/>
                <w:color w:val="222222"/>
                <w:sz w:val="14"/>
                <w:szCs w:val="14"/>
              </w:rPr>
              <w:t xml:space="preserve">NR</w:t>
            </w:r>
          </w:p>
        </w:tc>
        <w:tc>
          <w:tcPr>
            <w:tcW w:type="dxa" w:w="1200"/>
            <w:tcMar>
              <w:top w:type="dxa" w:w="50"/>
              <w:left w:type="dxa" w:w="60"/>
              <w:bottom w:type="dxa" w:w="50"/>
              <w:right w:type="dxa" w:w="60"/>
            </w:tcMar>
            <w:vAlign w:val="center"/>
          </w:tcPr>
          <w:p>
            <w:r>
              <w:rPr>
                <w:b w:val="false"/>
                <w:bCs w:val="false"/>
                <w:color w:val="222222"/>
                <w:sz w:val="14"/>
                <w:szCs w:val="14"/>
              </w:rPr>
              <w:t xml:space="preserve">Indicadores glicêmicos</w:t>
            </w:r>
          </w:p>
        </w:tc>
        <w:tc>
          <w:tcPr>
            <w:tcW w:type="dxa" w:w="800"/>
            <w:tcMar>
              <w:top w:type="dxa" w:w="50"/>
              <w:left w:type="dxa" w:w="60"/>
              <w:bottom w:type="dxa" w:w="50"/>
              <w:right w:type="dxa" w:w="60"/>
            </w:tcMar>
            <w:vAlign w:val="center"/>
          </w:tcPr>
          <w:p>
            <w:r>
              <w:rPr>
                <w:b/>
                <w:bCs/>
                <w:color w:val="8C8C6D"/>
                <w:sz w:val="14"/>
                <w:szCs w:val="14"/>
              </w:rPr>
              <w:t xml:space="preserve">Ambíguo</w:t>
            </w:r>
          </w:p>
        </w:tc>
        <w:tc>
          <w:tcPr>
            <w:tcW w:type="dxa" w:w="3398"/>
            <w:tcMar>
              <w:top w:type="dxa" w:w="50"/>
              <w:left w:type="dxa" w:w="60"/>
              <w:bottom w:type="dxa" w:w="50"/>
              <w:right w:type="dxa" w:w="60"/>
            </w:tcMar>
            <w:vAlign w:val="center"/>
          </w:tcPr>
          <w:p>
            <w:r>
              <w:rPr>
                <w:b w:val="false"/>
                <w:bCs w:val="false"/>
                <w:color w:val="222222"/>
                <w:sz w:val="14"/>
                <w:szCs w:val="14"/>
              </w:rPr>
              <w:t xml:space="preserve">Exposição a PM10, PM2.5 e NO2 associou-se a piora de indicadores glicêmicos (glicose de jejum, HbA1c, insulina, HOMA-IR); manter atividade física moderada a vigorosa atenuou esse efeito, mas o benefício desapareceu acima de um limiar de aumento de METs (&gt;12.000-13.500 MET-min/semana).</w:t>
            </w:r>
          </w:p>
        </w:tc>
      </w:tr>
    </w:tbl>
    <w:p>
      <w:r>
        <w:br w:type="page"/>
      </w:r>
    </w:p>
    <w:p>
      <w:pPr>
        <w:pStyle w:val="Heading1"/>
        <w:spacing w:after="120" w:before="0"/>
      </w:pPr>
      <w:r>
        <w:rPr>
          <w:b/>
          <w:bCs/>
          <w:color w:val="1F4E79"/>
          <w:sz w:val="26"/>
          <w:szCs w:val="26"/>
        </w:rPr>
        <w:t xml:space="preserve">5. Referências completas e origem da confirmação</w:t>
      </w:r>
    </w:p>
    <w:p>
      <w:pPr>
        <w:spacing w:after="140"/>
      </w:pPr>
      <w:r>
        <w:rPr>
          <w:i/>
          <w:iCs/>
          <w:color w:val="595959"/>
          <w:sz w:val="20"/>
          <w:szCs w:val="20"/>
        </w:rPr>
        <w:t xml:space="preserve">Os 58 do artigo original não têm DOI individual capturado na extração de 2023 (só referência de conjunto). Os 58 novos têm DOI real, verificado via PubMed.</w:t>
      </w:r>
    </w:p>
    <w:tbl>
      <w:tblPr>
        <w:tblW w:type="dxa" w:w="15598"/>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300"/>
        <w:gridCol w:w="4000"/>
        <w:gridCol w:w="5198"/>
        <w:gridCol w:w="3500"/>
      </w:tblGrid>
      <w:tr>
        <w:trPr>
          <w:tblHeader/>
        </w:trPr>
        <w:tc>
          <w:tcPr>
            <w:tcW w:type="dxa" w:w="500"/>
            <w:shd w:fill="1F4E79" w:val="clear"/>
            <w:tcMar>
              <w:top w:type="dxa" w:w="60"/>
              <w:left w:type="dxa" w:w="60"/>
              <w:bottom w:type="dxa" w:w="60"/>
              <w:right w:type="dxa" w:w="60"/>
            </w:tcMar>
            <w:vAlign w:val="center"/>
          </w:tcPr>
          <w:p>
            <w:r>
              <w:rPr>
                <w:b/>
                <w:bCs/>
                <w:color w:val="FFFFFF"/>
                <w:sz w:val="14"/>
                <w:szCs w:val="14"/>
              </w:rPr>
              <w:t xml:space="preserve">#</w:t>
            </w:r>
          </w:p>
        </w:tc>
        <w:tc>
          <w:tcPr>
            <w:tcW w:type="dxa" w:w="2300"/>
            <w:shd w:fill="1F4E79" w:val="clear"/>
            <w:tcMar>
              <w:top w:type="dxa" w:w="60"/>
              <w:left w:type="dxa" w:w="60"/>
              <w:bottom w:type="dxa" w:w="60"/>
              <w:right w:type="dxa" w:w="60"/>
            </w:tcMar>
            <w:vAlign w:val="center"/>
          </w:tcPr>
          <w:p>
            <w:r>
              <w:rPr>
                <w:b/>
                <w:bCs/>
                <w:color w:val="FFFFFF"/>
                <w:sz w:val="14"/>
                <w:szCs w:val="14"/>
              </w:rPr>
              <w:t xml:space="preserve">Autor (ano)</w:t>
            </w:r>
          </w:p>
        </w:tc>
        <w:tc>
          <w:tcPr>
            <w:tcW w:type="dxa" w:w="4000"/>
            <w:shd w:fill="1F4E79" w:val="clear"/>
            <w:tcMar>
              <w:top w:type="dxa" w:w="60"/>
              <w:left w:type="dxa" w:w="60"/>
              <w:bottom w:type="dxa" w:w="60"/>
              <w:right w:type="dxa" w:w="60"/>
            </w:tcMar>
            <w:vAlign w:val="center"/>
          </w:tcPr>
          <w:p>
            <w:r>
              <w:rPr>
                <w:b/>
                <w:bCs/>
                <w:color w:val="FFFFFF"/>
                <w:sz w:val="14"/>
                <w:szCs w:val="14"/>
              </w:rPr>
              <w:t xml:space="preserve">Revista</w:t>
            </w:r>
          </w:p>
        </w:tc>
        <w:tc>
          <w:tcPr>
            <w:tcW w:type="dxa" w:w="5198"/>
            <w:shd w:fill="1F4E79" w:val="clear"/>
            <w:tcMar>
              <w:top w:type="dxa" w:w="60"/>
              <w:left w:type="dxa" w:w="60"/>
              <w:bottom w:type="dxa" w:w="60"/>
              <w:right w:type="dxa" w:w="60"/>
            </w:tcMar>
            <w:vAlign w:val="center"/>
          </w:tcPr>
          <w:p>
            <w:r>
              <w:rPr>
                <w:b/>
                <w:bCs/>
                <w:color w:val="FFFFFF"/>
                <w:sz w:val="14"/>
                <w:szCs w:val="14"/>
              </w:rPr>
              <w:t xml:space="preserve">DOI / PubMed</w:t>
            </w:r>
          </w:p>
        </w:tc>
        <w:tc>
          <w:tcPr>
            <w:tcW w:type="dxa" w:w="3500"/>
            <w:shd w:fill="1F4E79" w:val="clear"/>
            <w:tcMar>
              <w:top w:type="dxa" w:w="60"/>
              <w:left w:type="dxa" w:w="60"/>
              <w:bottom w:type="dxa" w:w="60"/>
              <w:right w:type="dxa" w:w="60"/>
            </w:tcMar>
            <w:vAlign w:val="center"/>
          </w:tcPr>
          <w:p>
            <w:r>
              <w:rPr>
                <w:b/>
                <w:bCs/>
                <w:color w:val="FFFFFF"/>
                <w:sz w:val="14"/>
                <w:szCs w:val="14"/>
              </w:rPr>
              <w:t xml:space="preserve">Origem</w:t>
            </w:r>
          </w:p>
        </w:tc>
      </w:tr>
      <w:tr>
        <w:tc>
          <w:tcPr>
            <w:tcW w:type="dxa" w:w="500"/>
            <w:tcMar>
              <w:top w:type="dxa" w:w="50"/>
              <w:left w:type="dxa" w:w="60"/>
              <w:bottom w:type="dxa" w:w="50"/>
              <w:right w:type="dxa" w:w="60"/>
            </w:tcMar>
            <w:vAlign w:val="center"/>
          </w:tcPr>
          <w:p>
            <w:r>
              <w:rPr>
                <w:b w:val="false"/>
                <w:bCs w:val="false"/>
                <w:color w:val="222222"/>
                <w:sz w:val="14"/>
                <w:szCs w:val="14"/>
              </w:rPr>
              <w:t xml:space="preserve">1</w:t>
            </w:r>
          </w:p>
        </w:tc>
        <w:tc>
          <w:tcPr>
            <w:tcW w:type="dxa" w:w="2300"/>
            <w:tcMar>
              <w:top w:type="dxa" w:w="50"/>
              <w:left w:type="dxa" w:w="60"/>
              <w:bottom w:type="dxa" w:w="50"/>
              <w:right w:type="dxa" w:w="60"/>
            </w:tcMar>
            <w:vAlign w:val="center"/>
          </w:tcPr>
          <w:p>
            <w:r>
              <w:rPr>
                <w:b w:val="false"/>
                <w:bCs w:val="false"/>
                <w:color w:val="222222"/>
                <w:sz w:val="14"/>
                <w:szCs w:val="14"/>
              </w:rPr>
              <w:t xml:space="preserve">Yu et al. (2021)</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Rondinelli et al. (1987)</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3</w:t>
            </w:r>
          </w:p>
        </w:tc>
        <w:tc>
          <w:tcPr>
            <w:tcW w:type="dxa" w:w="2300"/>
            <w:tcMar>
              <w:top w:type="dxa" w:w="50"/>
              <w:left w:type="dxa" w:w="60"/>
              <w:bottom w:type="dxa" w:w="50"/>
              <w:right w:type="dxa" w:w="60"/>
            </w:tcMar>
            <w:vAlign w:val="center"/>
          </w:tcPr>
          <w:p>
            <w:r>
              <w:rPr>
                <w:b w:val="false"/>
                <w:bCs w:val="false"/>
                <w:color w:val="222222"/>
                <w:sz w:val="14"/>
                <w:szCs w:val="14"/>
              </w:rPr>
              <w:t xml:space="preserve">Elliott et al. (2020)</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Kim et al. (2020)</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5</w:t>
            </w:r>
          </w:p>
        </w:tc>
        <w:tc>
          <w:tcPr>
            <w:tcW w:type="dxa" w:w="2300"/>
            <w:tcMar>
              <w:top w:type="dxa" w:w="50"/>
              <w:left w:type="dxa" w:w="60"/>
              <w:bottom w:type="dxa" w:w="50"/>
              <w:right w:type="dxa" w:w="60"/>
            </w:tcMar>
            <w:vAlign w:val="center"/>
          </w:tcPr>
          <w:p>
            <w:r>
              <w:rPr>
                <w:b w:val="false"/>
                <w:bCs w:val="false"/>
                <w:color w:val="222222"/>
                <w:sz w:val="14"/>
                <w:szCs w:val="14"/>
              </w:rPr>
              <w:t xml:space="preserve">Babb (1997)</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Drechsler-Parks (1995)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7</w:t>
            </w:r>
          </w:p>
        </w:tc>
        <w:tc>
          <w:tcPr>
            <w:tcW w:type="dxa" w:w="2300"/>
            <w:tcMar>
              <w:top w:type="dxa" w:w="50"/>
              <w:left w:type="dxa" w:w="60"/>
              <w:bottom w:type="dxa" w:w="50"/>
              <w:right w:type="dxa" w:w="60"/>
            </w:tcMar>
            <w:vAlign w:val="center"/>
          </w:tcPr>
          <w:p>
            <w:r>
              <w:rPr>
                <w:b w:val="false"/>
                <w:bCs w:val="false"/>
                <w:color w:val="222222"/>
                <w:sz w:val="14"/>
                <w:szCs w:val="14"/>
              </w:rPr>
              <w:t xml:space="preserve">Huang et al. (2021)</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Bagheri et al. (2021)</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9</w:t>
            </w:r>
          </w:p>
        </w:tc>
        <w:tc>
          <w:tcPr>
            <w:tcW w:type="dxa" w:w="2300"/>
            <w:tcMar>
              <w:top w:type="dxa" w:w="50"/>
              <w:left w:type="dxa" w:w="60"/>
              <w:bottom w:type="dxa" w:w="50"/>
              <w:right w:type="dxa" w:w="60"/>
            </w:tcMar>
            <w:vAlign w:val="center"/>
          </w:tcPr>
          <w:p>
            <w:r>
              <w:rPr>
                <w:b w:val="false"/>
                <w:bCs w:val="false"/>
                <w:color w:val="222222"/>
                <w:sz w:val="14"/>
                <w:szCs w:val="14"/>
              </w:rPr>
              <w:t xml:space="preserve">Babb et al. (2003)</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Cassilhas et al. (2022)</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11</w:t>
            </w:r>
          </w:p>
        </w:tc>
        <w:tc>
          <w:tcPr>
            <w:tcW w:type="dxa" w:w="2300"/>
            <w:tcMar>
              <w:top w:type="dxa" w:w="50"/>
              <w:left w:type="dxa" w:w="60"/>
              <w:bottom w:type="dxa" w:w="50"/>
              <w:right w:type="dxa" w:w="60"/>
            </w:tcMar>
            <w:vAlign w:val="center"/>
          </w:tcPr>
          <w:p>
            <w:r>
              <w:rPr>
                <w:b w:val="false"/>
                <w:bCs w:val="false"/>
                <w:color w:val="222222"/>
                <w:sz w:val="14"/>
                <w:szCs w:val="14"/>
              </w:rPr>
              <w:t xml:space="preserve">Gong et al. (2005)</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Liu et al. (2022)</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13</w:t>
            </w:r>
          </w:p>
        </w:tc>
        <w:tc>
          <w:tcPr>
            <w:tcW w:type="dxa" w:w="2300"/>
            <w:tcMar>
              <w:top w:type="dxa" w:w="50"/>
              <w:left w:type="dxa" w:w="60"/>
              <w:bottom w:type="dxa" w:w="50"/>
              <w:right w:type="dxa" w:w="60"/>
            </w:tcMar>
            <w:vAlign w:val="center"/>
          </w:tcPr>
          <w:p>
            <w:r>
              <w:rPr>
                <w:b w:val="false"/>
                <w:bCs w:val="false"/>
                <w:color w:val="222222"/>
                <w:sz w:val="14"/>
                <w:szCs w:val="14"/>
              </w:rPr>
              <w:t xml:space="preserve">Yao et al. (2022)</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Wu et al. (2022)</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15</w:t>
            </w:r>
          </w:p>
        </w:tc>
        <w:tc>
          <w:tcPr>
            <w:tcW w:type="dxa" w:w="2300"/>
            <w:tcMar>
              <w:top w:type="dxa" w:w="50"/>
              <w:left w:type="dxa" w:w="60"/>
              <w:bottom w:type="dxa" w:w="50"/>
              <w:right w:type="dxa" w:w="60"/>
            </w:tcMar>
            <w:vAlign w:val="center"/>
          </w:tcPr>
          <w:p>
            <w:r>
              <w:rPr>
                <w:b w:val="false"/>
                <w:bCs w:val="false"/>
                <w:color w:val="222222"/>
                <w:sz w:val="14"/>
                <w:szCs w:val="14"/>
              </w:rPr>
              <w:t xml:space="preserve">Ran et al. (2021)</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Sun et al. (2020)</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17</w:t>
            </w:r>
          </w:p>
        </w:tc>
        <w:tc>
          <w:tcPr>
            <w:tcW w:type="dxa" w:w="2300"/>
            <w:tcMar>
              <w:top w:type="dxa" w:w="50"/>
              <w:left w:type="dxa" w:w="60"/>
              <w:bottom w:type="dxa" w:w="50"/>
              <w:right w:type="dxa" w:w="60"/>
            </w:tcMar>
            <w:vAlign w:val="center"/>
          </w:tcPr>
          <w:p>
            <w:r>
              <w:rPr>
                <w:b w:val="false"/>
                <w:bCs w:val="false"/>
                <w:color w:val="222222"/>
                <w:sz w:val="14"/>
                <w:szCs w:val="14"/>
              </w:rPr>
              <w:t xml:space="preserve">Molina-Sotomayor et al. (2020)</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Wang et al. (2020)</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19</w:t>
            </w:r>
          </w:p>
        </w:tc>
        <w:tc>
          <w:tcPr>
            <w:tcW w:type="dxa" w:w="2300"/>
            <w:tcMar>
              <w:top w:type="dxa" w:w="50"/>
              <w:left w:type="dxa" w:w="60"/>
              <w:bottom w:type="dxa" w:w="50"/>
              <w:right w:type="dxa" w:w="60"/>
            </w:tcMar>
            <w:vAlign w:val="center"/>
          </w:tcPr>
          <w:p>
            <w:r>
              <w:rPr>
                <w:b w:val="false"/>
                <w:bCs w:val="false"/>
                <w:color w:val="222222"/>
                <w:sz w:val="14"/>
                <w:szCs w:val="14"/>
              </w:rPr>
              <w:t xml:space="preserve">Molina-Sotomayor et al. (2019)</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20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Chen et al. (2019)</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21</w:t>
            </w:r>
          </w:p>
        </w:tc>
        <w:tc>
          <w:tcPr>
            <w:tcW w:type="dxa" w:w="2300"/>
            <w:tcMar>
              <w:top w:type="dxa" w:w="50"/>
              <w:left w:type="dxa" w:w="60"/>
              <w:bottom w:type="dxa" w:w="50"/>
              <w:right w:type="dxa" w:w="60"/>
            </w:tcMar>
            <w:vAlign w:val="center"/>
          </w:tcPr>
          <w:p>
            <w:r>
              <w:rPr>
                <w:b w:val="false"/>
                <w:bCs w:val="false"/>
                <w:color w:val="222222"/>
                <w:sz w:val="14"/>
                <w:szCs w:val="14"/>
              </w:rPr>
              <w:t xml:space="preserve">Kubesch et al. (2018)</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22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Endes et al. (2017)</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23</w:t>
            </w:r>
          </w:p>
        </w:tc>
        <w:tc>
          <w:tcPr>
            <w:tcW w:type="dxa" w:w="2300"/>
            <w:tcMar>
              <w:top w:type="dxa" w:w="50"/>
              <w:left w:type="dxa" w:w="60"/>
              <w:bottom w:type="dxa" w:w="50"/>
              <w:right w:type="dxa" w:w="60"/>
            </w:tcMar>
            <w:vAlign w:val="center"/>
          </w:tcPr>
          <w:p>
            <w:r>
              <w:rPr>
                <w:b w:val="false"/>
                <w:bCs w:val="false"/>
                <w:color w:val="222222"/>
                <w:sz w:val="14"/>
                <w:szCs w:val="14"/>
              </w:rPr>
              <w:t xml:space="preserve">Andersen et al. (2015)</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24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Kim et al. (2015)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25</w:t>
            </w:r>
          </w:p>
        </w:tc>
        <w:tc>
          <w:tcPr>
            <w:tcW w:type="dxa" w:w="2300"/>
            <w:tcMar>
              <w:top w:type="dxa" w:w="50"/>
              <w:left w:type="dxa" w:w="60"/>
              <w:bottom w:type="dxa" w:w="50"/>
              <w:right w:type="dxa" w:w="60"/>
            </w:tcMar>
            <w:vAlign w:val="center"/>
          </w:tcPr>
          <w:p>
            <w:r>
              <w:rPr>
                <w:b w:val="false"/>
                <w:bCs w:val="false"/>
                <w:color w:val="222222"/>
                <w:sz w:val="14"/>
                <w:szCs w:val="14"/>
              </w:rPr>
              <w:t xml:space="preserve">Wong et al. (2007)</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26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Zwart et al. (2018)</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27</w:t>
            </w:r>
          </w:p>
        </w:tc>
        <w:tc>
          <w:tcPr>
            <w:tcW w:type="dxa" w:w="2300"/>
            <w:tcMar>
              <w:top w:type="dxa" w:w="50"/>
              <w:left w:type="dxa" w:w="60"/>
              <w:bottom w:type="dxa" w:w="50"/>
              <w:right w:type="dxa" w:w="60"/>
            </w:tcMar>
            <w:vAlign w:val="center"/>
          </w:tcPr>
          <w:p>
            <w:r>
              <w:rPr>
                <w:b w:val="false"/>
                <w:bCs w:val="false"/>
                <w:color w:val="222222"/>
                <w:sz w:val="14"/>
                <w:szCs w:val="14"/>
              </w:rPr>
              <w:t xml:space="preserve">Stieb et al. (2018)</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28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Yu et al. (2017)</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29</w:t>
            </w:r>
          </w:p>
        </w:tc>
        <w:tc>
          <w:tcPr>
            <w:tcW w:type="dxa" w:w="2300"/>
            <w:tcMar>
              <w:top w:type="dxa" w:w="50"/>
              <w:left w:type="dxa" w:w="60"/>
              <w:bottom w:type="dxa" w:w="50"/>
              <w:right w:type="dxa" w:w="60"/>
            </w:tcMar>
            <w:vAlign w:val="center"/>
          </w:tcPr>
          <w:p>
            <w:r>
              <w:rPr>
                <w:b w:val="false"/>
                <w:bCs w:val="false"/>
                <w:color w:val="222222"/>
                <w:sz w:val="14"/>
                <w:szCs w:val="14"/>
              </w:rPr>
              <w:t xml:space="preserve">Stieb et al. (2017)</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30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Salicio et al. (2016)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31</w:t>
            </w:r>
          </w:p>
        </w:tc>
        <w:tc>
          <w:tcPr>
            <w:tcW w:type="dxa" w:w="2300"/>
            <w:tcMar>
              <w:top w:type="dxa" w:w="50"/>
              <w:left w:type="dxa" w:w="60"/>
              <w:bottom w:type="dxa" w:w="50"/>
              <w:right w:type="dxa" w:w="60"/>
            </w:tcMar>
            <w:vAlign w:val="center"/>
          </w:tcPr>
          <w:p>
            <w:r>
              <w:rPr>
                <w:b w:val="false"/>
                <w:bCs w:val="false"/>
                <w:color w:val="222222"/>
                <w:sz w:val="14"/>
                <w:szCs w:val="14"/>
              </w:rPr>
              <w:t xml:space="preserve">Alahmari et al. (2015)</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32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Delfino et al. (2011)</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33</w:t>
            </w:r>
          </w:p>
        </w:tc>
        <w:tc>
          <w:tcPr>
            <w:tcW w:type="dxa" w:w="2300"/>
            <w:tcMar>
              <w:top w:type="dxa" w:w="50"/>
              <w:left w:type="dxa" w:w="60"/>
              <w:bottom w:type="dxa" w:w="50"/>
              <w:right w:type="dxa" w:w="60"/>
            </w:tcMar>
            <w:vAlign w:val="center"/>
          </w:tcPr>
          <w:p>
            <w:r>
              <w:rPr>
                <w:b w:val="false"/>
                <w:bCs w:val="false"/>
                <w:color w:val="222222"/>
                <w:sz w:val="14"/>
                <w:szCs w:val="14"/>
              </w:rPr>
              <w:t xml:space="preserve">Delfino et al. (2010)</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34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Lanki et al. (2008)</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35</w:t>
            </w:r>
          </w:p>
        </w:tc>
        <w:tc>
          <w:tcPr>
            <w:tcW w:type="dxa" w:w="2300"/>
            <w:tcMar>
              <w:top w:type="dxa" w:w="50"/>
              <w:left w:type="dxa" w:w="60"/>
              <w:bottom w:type="dxa" w:w="50"/>
              <w:right w:type="dxa" w:w="60"/>
            </w:tcMar>
            <w:vAlign w:val="center"/>
          </w:tcPr>
          <w:p>
            <w:r>
              <w:rPr>
                <w:b w:val="false"/>
                <w:bCs w:val="false"/>
                <w:color w:val="222222"/>
                <w:sz w:val="14"/>
                <w:szCs w:val="14"/>
              </w:rPr>
              <w:t xml:space="preserve">Lanki et al. (2006)</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36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Gold et al. (2005)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37</w:t>
            </w:r>
          </w:p>
        </w:tc>
        <w:tc>
          <w:tcPr>
            <w:tcW w:type="dxa" w:w="2300"/>
            <w:tcMar>
              <w:top w:type="dxa" w:w="50"/>
              <w:left w:type="dxa" w:w="60"/>
              <w:bottom w:type="dxa" w:w="50"/>
              <w:right w:type="dxa" w:w="60"/>
            </w:tcMar>
            <w:vAlign w:val="center"/>
          </w:tcPr>
          <w:p>
            <w:r>
              <w:rPr>
                <w:b w:val="false"/>
                <w:bCs w:val="false"/>
                <w:color w:val="222222"/>
                <w:sz w:val="14"/>
                <w:szCs w:val="14"/>
              </w:rPr>
              <w:t xml:space="preserve">DeMeo et al. (2004)</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38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Gong et al. (2004)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39</w:t>
            </w:r>
          </w:p>
        </w:tc>
        <w:tc>
          <w:tcPr>
            <w:tcW w:type="dxa" w:w="2300"/>
            <w:tcMar>
              <w:top w:type="dxa" w:w="50"/>
              <w:left w:type="dxa" w:w="60"/>
              <w:bottom w:type="dxa" w:w="50"/>
              <w:right w:type="dxa" w:w="60"/>
            </w:tcMar>
            <w:vAlign w:val="center"/>
          </w:tcPr>
          <w:p>
            <w:r>
              <w:rPr>
                <w:b w:val="false"/>
                <w:bCs w:val="false"/>
                <w:color w:val="222222"/>
                <w:sz w:val="14"/>
                <w:szCs w:val="14"/>
              </w:rPr>
              <w:t xml:space="preserve">Pekkanen et al. (2002)</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40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Gold et al. (2000)</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41</w:t>
            </w:r>
          </w:p>
        </w:tc>
        <w:tc>
          <w:tcPr>
            <w:tcW w:type="dxa" w:w="2300"/>
            <w:tcMar>
              <w:top w:type="dxa" w:w="50"/>
              <w:left w:type="dxa" w:w="60"/>
              <w:bottom w:type="dxa" w:w="50"/>
              <w:right w:type="dxa" w:w="60"/>
            </w:tcMar>
            <w:vAlign w:val="center"/>
          </w:tcPr>
          <w:p>
            <w:r>
              <w:rPr>
                <w:b w:val="false"/>
                <w:bCs w:val="false"/>
                <w:color w:val="222222"/>
                <w:sz w:val="14"/>
                <w:szCs w:val="14"/>
              </w:rPr>
              <w:t xml:space="preserve">Allred et al. (1989)</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42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Reisenauer et al. (1988)</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43</w:t>
            </w:r>
          </w:p>
        </w:tc>
        <w:tc>
          <w:tcPr>
            <w:tcW w:type="dxa" w:w="2300"/>
            <w:tcMar>
              <w:top w:type="dxa" w:w="50"/>
              <w:left w:type="dxa" w:w="60"/>
              <w:bottom w:type="dxa" w:w="50"/>
              <w:right w:type="dxa" w:w="60"/>
            </w:tcMar>
            <w:vAlign w:val="center"/>
          </w:tcPr>
          <w:p>
            <w:r>
              <w:rPr>
                <w:b w:val="false"/>
                <w:bCs w:val="false"/>
                <w:color w:val="222222"/>
                <w:sz w:val="14"/>
                <w:szCs w:val="14"/>
              </w:rPr>
              <w:t xml:space="preserve">Drechsler-Parks et al. (1987)</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44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Ao et al. (2022)</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45</w:t>
            </w:r>
          </w:p>
        </w:tc>
        <w:tc>
          <w:tcPr>
            <w:tcW w:type="dxa" w:w="2300"/>
            <w:tcMar>
              <w:top w:type="dxa" w:w="50"/>
              <w:left w:type="dxa" w:w="60"/>
              <w:bottom w:type="dxa" w:w="50"/>
              <w:right w:type="dxa" w:w="60"/>
            </w:tcMar>
            <w:vAlign w:val="center"/>
          </w:tcPr>
          <w:p>
            <w:r>
              <w:rPr>
                <w:b w:val="false"/>
                <w:bCs w:val="false"/>
                <w:color w:val="222222"/>
                <w:sz w:val="14"/>
                <w:szCs w:val="14"/>
              </w:rPr>
              <w:t xml:space="preserve">Stieb et al. (2021)</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46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Besser et al. (2021)</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47</w:t>
            </w:r>
          </w:p>
        </w:tc>
        <w:tc>
          <w:tcPr>
            <w:tcW w:type="dxa" w:w="2300"/>
            <w:tcMar>
              <w:top w:type="dxa" w:w="50"/>
              <w:left w:type="dxa" w:w="60"/>
              <w:bottom w:type="dxa" w:w="50"/>
              <w:right w:type="dxa" w:w="60"/>
            </w:tcMar>
            <w:vAlign w:val="center"/>
          </w:tcPr>
          <w:p>
            <w:r>
              <w:rPr>
                <w:b w:val="false"/>
                <w:bCs w:val="false"/>
                <w:color w:val="222222"/>
                <w:sz w:val="14"/>
                <w:szCs w:val="14"/>
              </w:rPr>
              <w:t xml:space="preserve">Zhou et al. (2020)</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48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Roe et al. (2020)</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49</w:t>
            </w:r>
          </w:p>
        </w:tc>
        <w:tc>
          <w:tcPr>
            <w:tcW w:type="dxa" w:w="2300"/>
            <w:tcMar>
              <w:top w:type="dxa" w:w="50"/>
              <w:left w:type="dxa" w:w="60"/>
              <w:bottom w:type="dxa" w:w="50"/>
              <w:right w:type="dxa" w:w="60"/>
            </w:tcMar>
            <w:vAlign w:val="center"/>
          </w:tcPr>
          <w:p>
            <w:r>
              <w:rPr>
                <w:b w:val="false"/>
                <w:bCs w:val="false"/>
                <w:color w:val="222222"/>
                <w:sz w:val="14"/>
                <w:szCs w:val="14"/>
              </w:rPr>
              <w:t xml:space="preserve">Nuyts et al. (2019)</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50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Balmes et al. (2019)</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51</w:t>
            </w:r>
          </w:p>
        </w:tc>
        <w:tc>
          <w:tcPr>
            <w:tcW w:type="dxa" w:w="2300"/>
            <w:tcMar>
              <w:top w:type="dxa" w:w="50"/>
              <w:left w:type="dxa" w:w="60"/>
              <w:bottom w:type="dxa" w:w="50"/>
              <w:right w:type="dxa" w:w="60"/>
            </w:tcMar>
            <w:vAlign w:val="center"/>
          </w:tcPr>
          <w:p>
            <w:r>
              <w:rPr>
                <w:b w:val="false"/>
                <w:bCs w:val="false"/>
                <w:color w:val="222222"/>
                <w:sz w:val="14"/>
                <w:szCs w:val="14"/>
              </w:rPr>
              <w:t xml:space="preserve">Rich et al. (2018)</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52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Sinharay et al. (2018)</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53</w:t>
            </w:r>
          </w:p>
        </w:tc>
        <w:tc>
          <w:tcPr>
            <w:tcW w:type="dxa" w:w="2300"/>
            <w:tcMar>
              <w:top w:type="dxa" w:w="50"/>
              <w:left w:type="dxa" w:w="60"/>
              <w:bottom w:type="dxa" w:w="50"/>
              <w:right w:type="dxa" w:w="60"/>
            </w:tcMar>
            <w:vAlign w:val="center"/>
          </w:tcPr>
          <w:p>
            <w:r>
              <w:rPr>
                <w:b w:val="false"/>
                <w:bCs w:val="false"/>
                <w:color w:val="222222"/>
                <w:sz w:val="14"/>
                <w:szCs w:val="14"/>
              </w:rPr>
              <w:t xml:space="preserve">Arjomandi et al. (2018)</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54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Dewulf et al. (2016)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55</w:t>
            </w:r>
          </w:p>
        </w:tc>
        <w:tc>
          <w:tcPr>
            <w:tcW w:type="dxa" w:w="2300"/>
            <w:tcMar>
              <w:top w:type="dxa" w:w="50"/>
              <w:left w:type="dxa" w:w="60"/>
              <w:bottom w:type="dxa" w:w="50"/>
              <w:right w:type="dxa" w:w="60"/>
            </w:tcMar>
            <w:vAlign w:val="center"/>
          </w:tcPr>
          <w:p>
            <w:r>
              <w:rPr>
                <w:b w:val="false"/>
                <w:bCs w:val="false"/>
                <w:color w:val="222222"/>
                <w:sz w:val="14"/>
                <w:szCs w:val="14"/>
              </w:rPr>
              <w:t xml:space="preserve">Bartell et al. (2013)</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56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Drechsler-Parks (1995)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57</w:t>
            </w:r>
          </w:p>
        </w:tc>
        <w:tc>
          <w:tcPr>
            <w:tcW w:type="dxa" w:w="2300"/>
            <w:tcMar>
              <w:top w:type="dxa" w:w="50"/>
              <w:left w:type="dxa" w:w="60"/>
              <w:bottom w:type="dxa" w:w="50"/>
              <w:right w:type="dxa" w:w="60"/>
            </w:tcMar>
            <w:vAlign w:val="center"/>
          </w:tcPr>
          <w:p>
            <w:r>
              <w:rPr>
                <w:b w:val="false"/>
                <w:bCs w:val="false"/>
                <w:color w:val="222222"/>
                <w:sz w:val="14"/>
                <w:szCs w:val="14"/>
              </w:rPr>
              <w:t xml:space="preserve">Bedi et al. (1989)</w:t>
            </w:r>
          </w:p>
        </w:tc>
        <w:tc>
          <w:tcPr>
            <w:tcW w:type="dxa" w:w="4000"/>
            <w:tcMar>
              <w:top w:type="dxa" w:w="50"/>
              <w:left w:type="dxa" w:w="60"/>
              <w:bottom w:type="dxa" w:w="50"/>
              <w:right w:type="dxa" w:w="60"/>
            </w:tcMar>
            <w:vAlign w:val="center"/>
          </w:tcPr>
          <w:p>
            <w:r>
              <w:rPr>
                <w:b w:val="false"/>
                <w:bCs w:val="false"/>
                <w:color w:val="222222"/>
                <w:sz w:val="14"/>
                <w:szCs w:val="14"/>
              </w:rPr>
              <w:t xml:space="preserve">—</w:t>
            </w:r>
          </w:p>
        </w:tc>
        <w:tc>
          <w:tcPr>
            <w:tcW w:type="dxa" w:w="5198"/>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58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Drechsler-Parks et al. (1987)</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w:t>
            </w:r>
          </w:p>
        </w:tc>
        <w:tc>
          <w:tcPr>
            <w:tcW w:type="dxa" w:w="5198"/>
            <w:shd w:fill="EAF1F8" w:val="clear"/>
            <w:tcMar>
              <w:top w:type="dxa" w:w="50"/>
              <w:left w:type="dxa" w:w="60"/>
              <w:bottom w:type="dxa" w:w="50"/>
              <w:right w:type="dxa" w:w="60"/>
            </w:tcMar>
            <w:vAlign w:val="center"/>
          </w:tcPr>
          <w:p>
            <w:r>
              <w:rPr>
                <w:i/>
                <w:iCs/>
                <w:color w:val="888888"/>
                <w:sz w:val="14"/>
                <w:szCs w:val="14"/>
              </w:rPr>
              <w:t xml:space="preserve">— (artigo original, sem DOI individual capturado)</w:t>
            </w:r>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Artigo original (2023)</w:t>
            </w:r>
          </w:p>
        </w:tc>
      </w:tr>
      <w:tr>
        <w:tc>
          <w:tcPr>
            <w:tcW w:type="dxa" w:w="500"/>
            <w:tcMar>
              <w:top w:type="dxa" w:w="50"/>
              <w:left w:type="dxa" w:w="60"/>
              <w:bottom w:type="dxa" w:w="50"/>
              <w:right w:type="dxa" w:w="60"/>
            </w:tcMar>
            <w:vAlign w:val="center"/>
          </w:tcPr>
          <w:p>
            <w:r>
              <w:rPr>
                <w:b w:val="false"/>
                <w:bCs w:val="false"/>
                <w:color w:val="222222"/>
                <w:sz w:val="14"/>
                <w:szCs w:val="14"/>
              </w:rPr>
              <w:t xml:space="preserve">59</w:t>
            </w:r>
          </w:p>
        </w:tc>
        <w:tc>
          <w:tcPr>
            <w:tcW w:type="dxa" w:w="2300"/>
            <w:tcMar>
              <w:top w:type="dxa" w:w="50"/>
              <w:left w:type="dxa" w:w="60"/>
              <w:bottom w:type="dxa" w:w="50"/>
              <w:right w:type="dxa" w:w="60"/>
            </w:tcMar>
            <w:vAlign w:val="center"/>
          </w:tcPr>
          <w:p>
            <w:r>
              <w:rPr>
                <w:b w:val="false"/>
                <w:bCs w:val="false"/>
                <w:color w:val="222222"/>
                <w:sz w:val="14"/>
                <w:szCs w:val="14"/>
              </w:rPr>
              <w:t xml:space="preserve">Xie H (2025)</w:t>
            </w:r>
          </w:p>
        </w:tc>
        <w:tc>
          <w:tcPr>
            <w:tcW w:type="dxa" w:w="4000"/>
            <w:tcMar>
              <w:top w:type="dxa" w:w="50"/>
              <w:left w:type="dxa" w:w="60"/>
              <w:bottom w:type="dxa" w:w="50"/>
              <w:right w:type="dxa" w:w="60"/>
            </w:tcMar>
            <w:vAlign w:val="center"/>
          </w:tcPr>
          <w:p>
            <w:r>
              <w:rPr>
                <w:b w:val="false"/>
                <w:bCs w:val="false"/>
                <w:color w:val="222222"/>
                <w:sz w:val="14"/>
                <w:szCs w:val="14"/>
              </w:rPr>
              <w:t xml:space="preserve">J Nutr Health Aging</w:t>
            </w:r>
          </w:p>
        </w:tc>
        <w:tc>
          <w:tcPr>
            <w:tcW w:type="dxa" w:w="5198"/>
            <w:tcMar>
              <w:top w:type="dxa" w:w="50"/>
              <w:left w:type="dxa" w:w="60"/>
              <w:bottom w:type="dxa" w:w="50"/>
              <w:right w:type="dxa" w:w="60"/>
            </w:tcMar>
            <w:vAlign w:val="center"/>
          </w:tcPr>
          <w:p>
            <w:hyperlink w:history="1" r:id="rId1bygy7g5ibzza5i-imvf9">
              <w:r>
                <w:rPr>
                  <w:rStyle w:val="Hyperlink"/>
                  <w:sz w:val="14"/>
                  <w:szCs w:val="14"/>
                </w:rPr>
                <w:t xml:space="preserve">doi.org/10.1016/j.jnha.2025.100731</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60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Yu Z (2026)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J Gerontol A Biol Sci Med Sci</w:t>
            </w:r>
          </w:p>
        </w:tc>
        <w:tc>
          <w:tcPr>
            <w:tcW w:type="dxa" w:w="5198"/>
            <w:shd w:fill="EAF1F8" w:val="clear"/>
            <w:tcMar>
              <w:top w:type="dxa" w:w="50"/>
              <w:left w:type="dxa" w:w="60"/>
              <w:bottom w:type="dxa" w:w="50"/>
              <w:right w:type="dxa" w:w="60"/>
            </w:tcMar>
            <w:vAlign w:val="center"/>
          </w:tcPr>
          <w:p>
            <w:hyperlink w:history="1" r:id="rIdgfzwptw78_csfmqmpha77">
              <w:r>
                <w:rPr>
                  <w:rStyle w:val="Hyperlink"/>
                  <w:sz w:val="14"/>
                  <w:szCs w:val="14"/>
                </w:rPr>
                <w:t xml:space="preserve">doi.org/10.1093/gerona/glaf291</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61</w:t>
            </w:r>
          </w:p>
        </w:tc>
        <w:tc>
          <w:tcPr>
            <w:tcW w:type="dxa" w:w="2300"/>
            <w:tcMar>
              <w:top w:type="dxa" w:w="50"/>
              <w:left w:type="dxa" w:w="60"/>
              <w:bottom w:type="dxa" w:w="50"/>
              <w:right w:type="dxa" w:w="60"/>
            </w:tcMar>
            <w:vAlign w:val="center"/>
          </w:tcPr>
          <w:p>
            <w:r>
              <w:rPr>
                <w:b w:val="false"/>
                <w:bCs w:val="false"/>
                <w:color w:val="222222"/>
                <w:sz w:val="14"/>
                <w:szCs w:val="14"/>
              </w:rPr>
              <w:t xml:space="preserve">Xie H (2026)</w:t>
            </w:r>
          </w:p>
        </w:tc>
        <w:tc>
          <w:tcPr>
            <w:tcW w:type="dxa" w:w="4000"/>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tcMar>
              <w:top w:type="dxa" w:w="50"/>
              <w:left w:type="dxa" w:w="60"/>
              <w:bottom w:type="dxa" w:w="50"/>
              <w:right w:type="dxa" w:w="60"/>
            </w:tcMar>
            <w:vAlign w:val="center"/>
          </w:tcPr>
          <w:p>
            <w:hyperlink w:history="1" r:id="rId8qdhbd-ulp77roibuh9la">
              <w:r>
                <w:rPr>
                  <w:rStyle w:val="Hyperlink"/>
                  <w:sz w:val="14"/>
                  <w:szCs w:val="14"/>
                </w:rPr>
                <w:t xml:space="preserve">doi.org/10.1186/s12889-026-27175-w</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62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Gao C (2026)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Medicine (Baltimore)</w:t>
            </w:r>
          </w:p>
        </w:tc>
        <w:tc>
          <w:tcPr>
            <w:tcW w:type="dxa" w:w="5198"/>
            <w:shd w:fill="EAF1F8" w:val="clear"/>
            <w:tcMar>
              <w:top w:type="dxa" w:w="50"/>
              <w:left w:type="dxa" w:w="60"/>
              <w:bottom w:type="dxa" w:w="50"/>
              <w:right w:type="dxa" w:w="60"/>
            </w:tcMar>
            <w:vAlign w:val="center"/>
          </w:tcPr>
          <w:p>
            <w:hyperlink w:history="1" r:id="rIddwu8648qo3yqpbukbfh_u">
              <w:r>
                <w:rPr>
                  <w:rStyle w:val="Hyperlink"/>
                  <w:sz w:val="14"/>
                  <w:szCs w:val="14"/>
                </w:rPr>
                <w:t xml:space="preserve">doi.org/10.1097/MD.0000000000048831</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63</w:t>
            </w:r>
          </w:p>
        </w:tc>
        <w:tc>
          <w:tcPr>
            <w:tcW w:type="dxa" w:w="2300"/>
            <w:tcMar>
              <w:top w:type="dxa" w:w="50"/>
              <w:left w:type="dxa" w:w="60"/>
              <w:bottom w:type="dxa" w:w="50"/>
              <w:right w:type="dxa" w:w="60"/>
            </w:tcMar>
            <w:vAlign w:val="center"/>
          </w:tcPr>
          <w:p>
            <w:r>
              <w:rPr>
                <w:b w:val="false"/>
                <w:bCs w:val="false"/>
                <w:color w:val="222222"/>
                <w:sz w:val="14"/>
                <w:szCs w:val="14"/>
              </w:rPr>
              <w:t xml:space="preserve">Das S (2026)</w:t>
            </w:r>
          </w:p>
        </w:tc>
        <w:tc>
          <w:tcPr>
            <w:tcW w:type="dxa" w:w="4000"/>
            <w:tcMar>
              <w:top w:type="dxa" w:w="50"/>
              <w:left w:type="dxa" w:w="60"/>
              <w:bottom w:type="dxa" w:w="50"/>
              <w:right w:type="dxa" w:w="60"/>
            </w:tcMar>
            <w:vAlign w:val="center"/>
          </w:tcPr>
          <w:p>
            <w:r>
              <w:rPr>
                <w:b w:val="false"/>
                <w:bCs w:val="false"/>
                <w:color w:val="222222"/>
                <w:sz w:val="14"/>
                <w:szCs w:val="14"/>
              </w:rPr>
              <w:t xml:space="preserve">Soc Sci Med</w:t>
            </w:r>
          </w:p>
        </w:tc>
        <w:tc>
          <w:tcPr>
            <w:tcW w:type="dxa" w:w="5198"/>
            <w:tcMar>
              <w:top w:type="dxa" w:w="50"/>
              <w:left w:type="dxa" w:w="60"/>
              <w:bottom w:type="dxa" w:w="50"/>
              <w:right w:type="dxa" w:w="60"/>
            </w:tcMar>
            <w:vAlign w:val="center"/>
          </w:tcPr>
          <w:p>
            <w:hyperlink w:history="1" r:id="rId7zrs9dr7rfp971bfqaqgd">
              <w:r>
                <w:rPr>
                  <w:rStyle w:val="Hyperlink"/>
                  <w:sz w:val="14"/>
                  <w:szCs w:val="14"/>
                </w:rPr>
                <w:t xml:space="preserve">doi.org/10.1016/j.socscimed.2026.119520</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64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Wang W (2026)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Front Public Health</w:t>
            </w:r>
          </w:p>
        </w:tc>
        <w:tc>
          <w:tcPr>
            <w:tcW w:type="dxa" w:w="5198"/>
            <w:shd w:fill="EAF1F8" w:val="clear"/>
            <w:tcMar>
              <w:top w:type="dxa" w:w="50"/>
              <w:left w:type="dxa" w:w="60"/>
              <w:bottom w:type="dxa" w:w="50"/>
              <w:right w:type="dxa" w:w="60"/>
            </w:tcMar>
            <w:vAlign w:val="center"/>
          </w:tcPr>
          <w:p>
            <w:hyperlink w:history="1" r:id="rIdzhcz4dlfdqc1p0rfzcvhj">
              <w:r>
                <w:rPr>
                  <w:rStyle w:val="Hyperlink"/>
                  <w:sz w:val="14"/>
                  <w:szCs w:val="14"/>
                </w:rPr>
                <w:t xml:space="preserve">doi.org/10.3389/fpubh.2026.1894835</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65</w:t>
            </w:r>
          </w:p>
        </w:tc>
        <w:tc>
          <w:tcPr>
            <w:tcW w:type="dxa" w:w="2300"/>
            <w:tcMar>
              <w:top w:type="dxa" w:w="50"/>
              <w:left w:type="dxa" w:w="60"/>
              <w:bottom w:type="dxa" w:w="50"/>
              <w:right w:type="dxa" w:w="60"/>
            </w:tcMar>
            <w:vAlign w:val="center"/>
          </w:tcPr>
          <w:p>
            <w:r>
              <w:rPr>
                <w:b w:val="false"/>
                <w:bCs w:val="false"/>
                <w:color w:val="222222"/>
                <w:sz w:val="14"/>
                <w:szCs w:val="14"/>
              </w:rPr>
              <w:t xml:space="preserve">Zhao Q (2024)</w:t>
            </w:r>
          </w:p>
        </w:tc>
        <w:tc>
          <w:tcPr>
            <w:tcW w:type="dxa" w:w="4000"/>
            <w:tcMar>
              <w:top w:type="dxa" w:w="50"/>
              <w:left w:type="dxa" w:w="60"/>
              <w:bottom w:type="dxa" w:w="50"/>
              <w:right w:type="dxa" w:w="60"/>
            </w:tcMar>
            <w:vAlign w:val="center"/>
          </w:tcPr>
          <w:p>
            <w:r>
              <w:rPr>
                <w:b w:val="false"/>
                <w:bCs w:val="false"/>
                <w:color w:val="222222"/>
                <w:sz w:val="14"/>
                <w:szCs w:val="14"/>
              </w:rPr>
              <w:t xml:space="preserve">J Hazard Mater</w:t>
            </w:r>
          </w:p>
        </w:tc>
        <w:tc>
          <w:tcPr>
            <w:tcW w:type="dxa" w:w="5198"/>
            <w:tcMar>
              <w:top w:type="dxa" w:w="50"/>
              <w:left w:type="dxa" w:w="60"/>
              <w:bottom w:type="dxa" w:w="50"/>
              <w:right w:type="dxa" w:w="60"/>
            </w:tcMar>
            <w:vAlign w:val="center"/>
          </w:tcPr>
          <w:p>
            <w:hyperlink w:history="1" r:id="rIdwzygjhbwrf_mrfkefzuly">
              <w:r>
                <w:rPr>
                  <w:rStyle w:val="Hyperlink"/>
                  <w:sz w:val="14"/>
                  <w:szCs w:val="14"/>
                </w:rPr>
                <w:t xml:space="preserve">doi.org/10.1016/j.jhazmat.2024.136507</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66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Dong X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J Am Med Dir Assoc</w:t>
            </w:r>
          </w:p>
        </w:tc>
        <w:tc>
          <w:tcPr>
            <w:tcW w:type="dxa" w:w="5198"/>
            <w:shd w:fill="EAF1F8" w:val="clear"/>
            <w:tcMar>
              <w:top w:type="dxa" w:w="50"/>
              <w:left w:type="dxa" w:w="60"/>
              <w:bottom w:type="dxa" w:w="50"/>
              <w:right w:type="dxa" w:w="60"/>
            </w:tcMar>
            <w:vAlign w:val="center"/>
          </w:tcPr>
          <w:p>
            <w:hyperlink w:history="1" r:id="rId2prhlwb3g-nvmeq8cwlsh">
              <w:r>
                <w:rPr>
                  <w:rStyle w:val="Hyperlink"/>
                  <w:sz w:val="14"/>
                  <w:szCs w:val="14"/>
                </w:rPr>
                <w:t xml:space="preserve">doi.org/10.1016/j.jamda.2025.105525</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67</w:t>
            </w:r>
          </w:p>
        </w:tc>
        <w:tc>
          <w:tcPr>
            <w:tcW w:type="dxa" w:w="2300"/>
            <w:tcMar>
              <w:top w:type="dxa" w:w="50"/>
              <w:left w:type="dxa" w:w="60"/>
              <w:bottom w:type="dxa" w:w="50"/>
              <w:right w:type="dxa" w:w="60"/>
            </w:tcMar>
            <w:vAlign w:val="center"/>
          </w:tcPr>
          <w:p>
            <w:r>
              <w:rPr>
                <w:b w:val="false"/>
                <w:bCs w:val="false"/>
                <w:color w:val="222222"/>
                <w:sz w:val="14"/>
                <w:szCs w:val="14"/>
              </w:rPr>
              <w:t xml:space="preserve">Zhang C (2025)</w:t>
            </w:r>
          </w:p>
        </w:tc>
        <w:tc>
          <w:tcPr>
            <w:tcW w:type="dxa" w:w="4000"/>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tcMar>
              <w:top w:type="dxa" w:w="50"/>
              <w:left w:type="dxa" w:w="60"/>
              <w:bottom w:type="dxa" w:w="50"/>
              <w:right w:type="dxa" w:w="60"/>
            </w:tcMar>
            <w:vAlign w:val="center"/>
          </w:tcPr>
          <w:p>
            <w:hyperlink w:history="1" r:id="rIdu69kbc9jduheukihu24rx">
              <w:r>
                <w:rPr>
                  <w:rStyle w:val="Hyperlink"/>
                  <w:sz w:val="14"/>
                  <w:szCs w:val="14"/>
                </w:rPr>
                <w:t xml:space="preserve">doi.org/10.1186/s12889-025-22050-6</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68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Li X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Sci Rep</w:t>
            </w:r>
          </w:p>
        </w:tc>
        <w:tc>
          <w:tcPr>
            <w:tcW w:type="dxa" w:w="5198"/>
            <w:shd w:fill="EAF1F8" w:val="clear"/>
            <w:tcMar>
              <w:top w:type="dxa" w:w="50"/>
              <w:left w:type="dxa" w:w="60"/>
              <w:bottom w:type="dxa" w:w="50"/>
              <w:right w:type="dxa" w:w="60"/>
            </w:tcMar>
            <w:vAlign w:val="center"/>
          </w:tcPr>
          <w:p>
            <w:hyperlink w:history="1" r:id="rIdubvtte7xz3frrxggosi6w">
              <w:r>
                <w:rPr>
                  <w:rStyle w:val="Hyperlink"/>
                  <w:sz w:val="14"/>
                  <w:szCs w:val="14"/>
                </w:rPr>
                <w:t xml:space="preserve">doi.org/10.1038/s41598-025-98711-8</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69</w:t>
            </w:r>
          </w:p>
        </w:tc>
        <w:tc>
          <w:tcPr>
            <w:tcW w:type="dxa" w:w="2300"/>
            <w:tcMar>
              <w:top w:type="dxa" w:w="50"/>
              <w:left w:type="dxa" w:w="60"/>
              <w:bottom w:type="dxa" w:w="50"/>
              <w:right w:type="dxa" w:w="60"/>
            </w:tcMar>
            <w:vAlign w:val="center"/>
          </w:tcPr>
          <w:p>
            <w:r>
              <w:rPr>
                <w:b w:val="false"/>
                <w:bCs w:val="false"/>
                <w:color w:val="222222"/>
                <w:sz w:val="14"/>
                <w:szCs w:val="14"/>
              </w:rPr>
              <w:t xml:space="preserve">Hao J (2025)</w:t>
            </w:r>
          </w:p>
        </w:tc>
        <w:tc>
          <w:tcPr>
            <w:tcW w:type="dxa" w:w="4000"/>
            <w:tcMar>
              <w:top w:type="dxa" w:w="50"/>
              <w:left w:type="dxa" w:w="60"/>
              <w:bottom w:type="dxa" w:w="50"/>
              <w:right w:type="dxa" w:w="60"/>
            </w:tcMar>
            <w:vAlign w:val="center"/>
          </w:tcPr>
          <w:p>
            <w:r>
              <w:rPr>
                <w:b w:val="false"/>
                <w:bCs w:val="false"/>
                <w:color w:val="222222"/>
                <w:sz w:val="14"/>
                <w:szCs w:val="14"/>
              </w:rPr>
              <w:t xml:space="preserve">Lancet Reg Health West Pac</w:t>
            </w:r>
          </w:p>
        </w:tc>
        <w:tc>
          <w:tcPr>
            <w:tcW w:type="dxa" w:w="5198"/>
            <w:tcMar>
              <w:top w:type="dxa" w:w="50"/>
              <w:left w:type="dxa" w:w="60"/>
              <w:bottom w:type="dxa" w:w="50"/>
              <w:right w:type="dxa" w:w="60"/>
            </w:tcMar>
            <w:vAlign w:val="center"/>
          </w:tcPr>
          <w:p>
            <w:hyperlink w:history="1" r:id="rIdh2ze2nwoxjhdtuoumeurg">
              <w:r>
                <w:rPr>
                  <w:rStyle w:val="Hyperlink"/>
                  <w:sz w:val="14"/>
                  <w:szCs w:val="14"/>
                </w:rPr>
                <w:t xml:space="preserve">doi.org/10.1016/j.lanwpc.2025.101584</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70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Fang Z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Front Public Health</w:t>
            </w:r>
          </w:p>
        </w:tc>
        <w:tc>
          <w:tcPr>
            <w:tcW w:type="dxa" w:w="5198"/>
            <w:shd w:fill="EAF1F8" w:val="clear"/>
            <w:tcMar>
              <w:top w:type="dxa" w:w="50"/>
              <w:left w:type="dxa" w:w="60"/>
              <w:bottom w:type="dxa" w:w="50"/>
              <w:right w:type="dxa" w:w="60"/>
            </w:tcMar>
            <w:vAlign w:val="center"/>
          </w:tcPr>
          <w:p>
            <w:hyperlink w:history="1" r:id="rId3xtjen00hyh-gtcmuxocg">
              <w:r>
                <w:rPr>
                  <w:rStyle w:val="Hyperlink"/>
                  <w:sz w:val="14"/>
                  <w:szCs w:val="14"/>
                </w:rPr>
                <w:t xml:space="preserve">doi.org/10.3389/fpubh.2025.1595748</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71</w:t>
            </w:r>
          </w:p>
        </w:tc>
        <w:tc>
          <w:tcPr>
            <w:tcW w:type="dxa" w:w="2300"/>
            <w:tcMar>
              <w:top w:type="dxa" w:w="50"/>
              <w:left w:type="dxa" w:w="60"/>
              <w:bottom w:type="dxa" w:w="50"/>
              <w:right w:type="dxa" w:w="60"/>
            </w:tcMar>
            <w:vAlign w:val="center"/>
          </w:tcPr>
          <w:p>
            <w:r>
              <w:rPr>
                <w:b w:val="false"/>
                <w:bCs w:val="false"/>
                <w:color w:val="222222"/>
                <w:sz w:val="14"/>
                <w:szCs w:val="14"/>
              </w:rPr>
              <w:t xml:space="preserve">Li W (2025)</w:t>
            </w:r>
          </w:p>
        </w:tc>
        <w:tc>
          <w:tcPr>
            <w:tcW w:type="dxa" w:w="4000"/>
            <w:tcMar>
              <w:top w:type="dxa" w:w="50"/>
              <w:left w:type="dxa" w:w="60"/>
              <w:bottom w:type="dxa" w:w="50"/>
              <w:right w:type="dxa" w:w="60"/>
            </w:tcMar>
            <w:vAlign w:val="center"/>
          </w:tcPr>
          <w:p>
            <w:r>
              <w:rPr>
                <w:b w:val="false"/>
                <w:bCs w:val="false"/>
                <w:color w:val="222222"/>
                <w:sz w:val="14"/>
                <w:szCs w:val="14"/>
              </w:rPr>
              <w:t xml:space="preserve">BMJ Open Sport Exerc Med</w:t>
            </w:r>
          </w:p>
        </w:tc>
        <w:tc>
          <w:tcPr>
            <w:tcW w:type="dxa" w:w="5198"/>
            <w:tcMar>
              <w:top w:type="dxa" w:w="50"/>
              <w:left w:type="dxa" w:w="60"/>
              <w:bottom w:type="dxa" w:w="50"/>
              <w:right w:type="dxa" w:w="60"/>
            </w:tcMar>
            <w:vAlign w:val="center"/>
          </w:tcPr>
          <w:p>
            <w:hyperlink w:history="1" r:id="rIdrwlmlvq2-44xgydttd_ow">
              <w:r>
                <w:rPr>
                  <w:rStyle w:val="Hyperlink"/>
                  <w:sz w:val="14"/>
                  <w:szCs w:val="14"/>
                </w:rPr>
                <w:t xml:space="preserve">doi.org/10.1136/bmjsem-2024-002358</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72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Küçükali H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J Phys Act Health</w:t>
            </w:r>
          </w:p>
        </w:tc>
        <w:tc>
          <w:tcPr>
            <w:tcW w:type="dxa" w:w="5198"/>
            <w:shd w:fill="EAF1F8" w:val="clear"/>
            <w:tcMar>
              <w:top w:type="dxa" w:w="50"/>
              <w:left w:type="dxa" w:w="60"/>
              <w:bottom w:type="dxa" w:w="50"/>
              <w:right w:type="dxa" w:w="60"/>
            </w:tcMar>
            <w:vAlign w:val="center"/>
          </w:tcPr>
          <w:p>
            <w:hyperlink w:history="1" r:id="rIdi-xc_ijgycrxxkyyltkhg">
              <w:r>
                <w:rPr>
                  <w:rStyle w:val="Hyperlink"/>
                  <w:sz w:val="14"/>
                  <w:szCs w:val="14"/>
                </w:rPr>
                <w:t xml:space="preserve">doi.org/10.1123/jpah.2024-0756</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73</w:t>
            </w:r>
          </w:p>
        </w:tc>
        <w:tc>
          <w:tcPr>
            <w:tcW w:type="dxa" w:w="2300"/>
            <w:tcMar>
              <w:top w:type="dxa" w:w="50"/>
              <w:left w:type="dxa" w:w="60"/>
              <w:bottom w:type="dxa" w:w="50"/>
              <w:right w:type="dxa" w:w="60"/>
            </w:tcMar>
            <w:vAlign w:val="center"/>
          </w:tcPr>
          <w:p>
            <w:r>
              <w:rPr>
                <w:b w:val="false"/>
                <w:bCs w:val="false"/>
                <w:color w:val="222222"/>
                <w:sz w:val="14"/>
                <w:szCs w:val="14"/>
              </w:rPr>
              <w:t xml:space="preserve">Gan YY (2025)</w:t>
            </w:r>
          </w:p>
        </w:tc>
        <w:tc>
          <w:tcPr>
            <w:tcW w:type="dxa" w:w="4000"/>
            <w:tcMar>
              <w:top w:type="dxa" w:w="50"/>
              <w:left w:type="dxa" w:w="60"/>
              <w:bottom w:type="dxa" w:w="50"/>
              <w:right w:type="dxa" w:w="60"/>
            </w:tcMar>
            <w:vAlign w:val="center"/>
          </w:tcPr>
          <w:p>
            <w:r>
              <w:rPr>
                <w:b w:val="false"/>
                <w:bCs w:val="false"/>
                <w:color w:val="222222"/>
                <w:sz w:val="14"/>
                <w:szCs w:val="14"/>
              </w:rPr>
              <w:t xml:space="preserve">Environ Pollut</w:t>
            </w:r>
          </w:p>
        </w:tc>
        <w:tc>
          <w:tcPr>
            <w:tcW w:type="dxa" w:w="5198"/>
            <w:tcMar>
              <w:top w:type="dxa" w:w="50"/>
              <w:left w:type="dxa" w:w="60"/>
              <w:bottom w:type="dxa" w:w="50"/>
              <w:right w:type="dxa" w:w="60"/>
            </w:tcMar>
            <w:vAlign w:val="center"/>
          </w:tcPr>
          <w:p>
            <w:hyperlink w:history="1" r:id="rIdgsx-lefffy6fktuayqcyc">
              <w:r>
                <w:rPr>
                  <w:rStyle w:val="Hyperlink"/>
                  <w:sz w:val="14"/>
                  <w:szCs w:val="14"/>
                </w:rPr>
                <w:t xml:space="preserve">doi.org/10.1016/j.envpol.2025.127028</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74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Chen Y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Sci Rep</w:t>
            </w:r>
          </w:p>
        </w:tc>
        <w:tc>
          <w:tcPr>
            <w:tcW w:type="dxa" w:w="5198"/>
            <w:shd w:fill="EAF1F8" w:val="clear"/>
            <w:tcMar>
              <w:top w:type="dxa" w:w="50"/>
              <w:left w:type="dxa" w:w="60"/>
              <w:bottom w:type="dxa" w:w="50"/>
              <w:right w:type="dxa" w:w="60"/>
            </w:tcMar>
            <w:vAlign w:val="center"/>
          </w:tcPr>
          <w:p>
            <w:hyperlink w:history="1" r:id="rIdwnol_wiyghulwq8qg4qvq">
              <w:r>
                <w:rPr>
                  <w:rStyle w:val="Hyperlink"/>
                  <w:sz w:val="14"/>
                  <w:szCs w:val="14"/>
                </w:rPr>
                <w:t xml:space="preserve">doi.org/10.1038/s41598-025-25347-z</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75</w:t>
            </w:r>
          </w:p>
        </w:tc>
        <w:tc>
          <w:tcPr>
            <w:tcW w:type="dxa" w:w="2300"/>
            <w:tcMar>
              <w:top w:type="dxa" w:w="50"/>
              <w:left w:type="dxa" w:w="60"/>
              <w:bottom w:type="dxa" w:w="50"/>
              <w:right w:type="dxa" w:w="60"/>
            </w:tcMar>
            <w:vAlign w:val="center"/>
          </w:tcPr>
          <w:p>
            <w:r>
              <w:rPr>
                <w:b w:val="false"/>
                <w:bCs w:val="false"/>
                <w:color w:val="222222"/>
                <w:sz w:val="14"/>
                <w:szCs w:val="14"/>
              </w:rPr>
              <w:t xml:space="preserve">Zhu L (2025)</w:t>
            </w:r>
          </w:p>
        </w:tc>
        <w:tc>
          <w:tcPr>
            <w:tcW w:type="dxa" w:w="4000"/>
            <w:tcMar>
              <w:top w:type="dxa" w:w="50"/>
              <w:left w:type="dxa" w:w="60"/>
              <w:bottom w:type="dxa" w:w="50"/>
              <w:right w:type="dxa" w:w="60"/>
            </w:tcMar>
            <w:vAlign w:val="center"/>
          </w:tcPr>
          <w:p>
            <w:r>
              <w:rPr>
                <w:b w:val="false"/>
                <w:bCs w:val="false"/>
                <w:color w:val="222222"/>
                <w:sz w:val="14"/>
                <w:szCs w:val="14"/>
              </w:rPr>
              <w:t xml:space="preserve">Sci Rep</w:t>
            </w:r>
          </w:p>
        </w:tc>
        <w:tc>
          <w:tcPr>
            <w:tcW w:type="dxa" w:w="5198"/>
            <w:tcMar>
              <w:top w:type="dxa" w:w="50"/>
              <w:left w:type="dxa" w:w="60"/>
              <w:bottom w:type="dxa" w:w="50"/>
              <w:right w:type="dxa" w:w="60"/>
            </w:tcMar>
            <w:vAlign w:val="center"/>
          </w:tcPr>
          <w:p>
            <w:hyperlink w:history="1" r:id="rIdgt2kjfdryyzyaz18pia5p">
              <w:r>
                <w:rPr>
                  <w:rStyle w:val="Hyperlink"/>
                  <w:sz w:val="14"/>
                  <w:szCs w:val="14"/>
                </w:rPr>
                <w:t xml:space="preserve">doi.org/10.1038/s41598-025-28614-1</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76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Xu W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shd w:fill="EAF1F8" w:val="clear"/>
            <w:tcMar>
              <w:top w:type="dxa" w:w="50"/>
              <w:left w:type="dxa" w:w="60"/>
              <w:bottom w:type="dxa" w:w="50"/>
              <w:right w:type="dxa" w:w="60"/>
            </w:tcMar>
            <w:vAlign w:val="center"/>
          </w:tcPr>
          <w:p>
            <w:hyperlink w:history="1" r:id="rIdo-yohaxpluovjugwmppe4">
              <w:r>
                <w:rPr>
                  <w:rStyle w:val="Hyperlink"/>
                  <w:sz w:val="14"/>
                  <w:szCs w:val="14"/>
                </w:rPr>
                <w:t xml:space="preserve">doi.org/10.1186/s12889-025-25378-1</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77</w:t>
            </w:r>
          </w:p>
        </w:tc>
        <w:tc>
          <w:tcPr>
            <w:tcW w:type="dxa" w:w="2300"/>
            <w:tcMar>
              <w:top w:type="dxa" w:w="50"/>
              <w:left w:type="dxa" w:w="60"/>
              <w:bottom w:type="dxa" w:w="50"/>
              <w:right w:type="dxa" w:w="60"/>
            </w:tcMar>
            <w:vAlign w:val="center"/>
          </w:tcPr>
          <w:p>
            <w:r>
              <w:rPr>
                <w:b w:val="false"/>
                <w:bCs w:val="false"/>
                <w:color w:val="222222"/>
                <w:sz w:val="14"/>
                <w:szCs w:val="14"/>
              </w:rPr>
              <w:t xml:space="preserve">Wang H (2024)</w:t>
            </w:r>
          </w:p>
        </w:tc>
        <w:tc>
          <w:tcPr>
            <w:tcW w:type="dxa" w:w="4000"/>
            <w:tcMar>
              <w:top w:type="dxa" w:w="50"/>
              <w:left w:type="dxa" w:w="60"/>
              <w:bottom w:type="dxa" w:w="50"/>
              <w:right w:type="dxa" w:w="60"/>
            </w:tcMar>
            <w:vAlign w:val="center"/>
          </w:tcPr>
          <w:p>
            <w:r>
              <w:rPr>
                <w:b w:val="false"/>
                <w:bCs w:val="false"/>
                <w:color w:val="222222"/>
                <w:sz w:val="14"/>
                <w:szCs w:val="14"/>
              </w:rPr>
              <w:t xml:space="preserve">J Affect Disord</w:t>
            </w:r>
          </w:p>
        </w:tc>
        <w:tc>
          <w:tcPr>
            <w:tcW w:type="dxa" w:w="5198"/>
            <w:tcMar>
              <w:top w:type="dxa" w:w="50"/>
              <w:left w:type="dxa" w:w="60"/>
              <w:bottom w:type="dxa" w:w="50"/>
              <w:right w:type="dxa" w:w="60"/>
            </w:tcMar>
            <w:vAlign w:val="center"/>
          </w:tcPr>
          <w:p>
            <w:hyperlink w:history="1" r:id="rId6snhla0944jpagwanxlqg">
              <w:r>
                <w:rPr>
                  <w:rStyle w:val="Hyperlink"/>
                  <w:sz w:val="14"/>
                  <w:szCs w:val="14"/>
                </w:rPr>
                <w:t xml:space="preserve">doi.org/10.1016/j.jad.2024.01.036</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78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Cheng J (2024)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shd w:fill="EAF1F8" w:val="clear"/>
            <w:tcMar>
              <w:top w:type="dxa" w:w="50"/>
              <w:left w:type="dxa" w:w="60"/>
              <w:bottom w:type="dxa" w:w="50"/>
              <w:right w:type="dxa" w:w="60"/>
            </w:tcMar>
            <w:vAlign w:val="center"/>
          </w:tcPr>
          <w:p>
            <w:hyperlink w:history="1" r:id="rId2dr5eeov0gc_shhcgysj3">
              <w:r>
                <w:rPr>
                  <w:rStyle w:val="Hyperlink"/>
                  <w:sz w:val="14"/>
                  <w:szCs w:val="14"/>
                </w:rPr>
                <w:t xml:space="preserve">doi.org/10.1186/s12889-024-18279-2</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79</w:t>
            </w:r>
          </w:p>
        </w:tc>
        <w:tc>
          <w:tcPr>
            <w:tcW w:type="dxa" w:w="2300"/>
            <w:tcMar>
              <w:top w:type="dxa" w:w="50"/>
              <w:left w:type="dxa" w:w="60"/>
              <w:bottom w:type="dxa" w:w="50"/>
              <w:right w:type="dxa" w:w="60"/>
            </w:tcMar>
            <w:vAlign w:val="center"/>
          </w:tcPr>
          <w:p>
            <w:r>
              <w:rPr>
                <w:b w:val="false"/>
                <w:bCs w:val="false"/>
                <w:color w:val="222222"/>
                <w:sz w:val="14"/>
                <w:szCs w:val="14"/>
              </w:rPr>
              <w:t xml:space="preserve">Park W (2024)</w:t>
            </w:r>
          </w:p>
        </w:tc>
        <w:tc>
          <w:tcPr>
            <w:tcW w:type="dxa" w:w="4000"/>
            <w:tcMar>
              <w:top w:type="dxa" w:w="50"/>
              <w:left w:type="dxa" w:w="60"/>
              <w:bottom w:type="dxa" w:w="50"/>
              <w:right w:type="dxa" w:w="60"/>
            </w:tcMar>
            <w:vAlign w:val="center"/>
          </w:tcPr>
          <w:p>
            <w:r>
              <w:rPr>
                <w:b w:val="false"/>
                <w:bCs w:val="false"/>
                <w:color w:val="222222"/>
                <w:sz w:val="14"/>
                <w:szCs w:val="14"/>
              </w:rPr>
              <w:t xml:space="preserve">Yonsei Med J</w:t>
            </w:r>
          </w:p>
        </w:tc>
        <w:tc>
          <w:tcPr>
            <w:tcW w:type="dxa" w:w="5198"/>
            <w:tcMar>
              <w:top w:type="dxa" w:w="50"/>
              <w:left w:type="dxa" w:w="60"/>
              <w:bottom w:type="dxa" w:w="50"/>
              <w:right w:type="dxa" w:w="60"/>
            </w:tcMar>
            <w:vAlign w:val="center"/>
          </w:tcPr>
          <w:p>
            <w:hyperlink w:history="1" r:id="rIdw0v7ucocn38puo2epwffh">
              <w:r>
                <w:rPr>
                  <w:rStyle w:val="Hyperlink"/>
                  <w:sz w:val="14"/>
                  <w:szCs w:val="14"/>
                </w:rPr>
                <w:t xml:space="preserve">doi.org/10.3349/ymj.2023.0292</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80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Li J (2024)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J Affect Disord</w:t>
            </w:r>
          </w:p>
        </w:tc>
        <w:tc>
          <w:tcPr>
            <w:tcW w:type="dxa" w:w="5198"/>
            <w:shd w:fill="EAF1F8" w:val="clear"/>
            <w:tcMar>
              <w:top w:type="dxa" w:w="50"/>
              <w:left w:type="dxa" w:w="60"/>
              <w:bottom w:type="dxa" w:w="50"/>
              <w:right w:type="dxa" w:w="60"/>
            </w:tcMar>
            <w:vAlign w:val="center"/>
          </w:tcPr>
          <w:p>
            <w:hyperlink w:history="1" r:id="rIdaffm2n5gptp4rqszx_y4x">
              <w:r>
                <w:rPr>
                  <w:rStyle w:val="Hyperlink"/>
                  <w:sz w:val="14"/>
                  <w:szCs w:val="14"/>
                </w:rPr>
                <w:t xml:space="preserve">doi.org/10.1016/j.jad.2024.07.108</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81</w:t>
            </w:r>
          </w:p>
        </w:tc>
        <w:tc>
          <w:tcPr>
            <w:tcW w:type="dxa" w:w="2300"/>
            <w:tcMar>
              <w:top w:type="dxa" w:w="50"/>
              <w:left w:type="dxa" w:w="60"/>
              <w:bottom w:type="dxa" w:w="50"/>
              <w:right w:type="dxa" w:w="60"/>
            </w:tcMar>
            <w:vAlign w:val="center"/>
          </w:tcPr>
          <w:p>
            <w:r>
              <w:rPr>
                <w:b w:val="false"/>
                <w:bCs w:val="false"/>
                <w:color w:val="222222"/>
                <w:sz w:val="14"/>
                <w:szCs w:val="14"/>
              </w:rPr>
              <w:t xml:space="preserve">Zhan B (2023)</w:t>
            </w:r>
          </w:p>
        </w:tc>
        <w:tc>
          <w:tcPr>
            <w:tcW w:type="dxa" w:w="4000"/>
            <w:tcMar>
              <w:top w:type="dxa" w:w="50"/>
              <w:left w:type="dxa" w:w="60"/>
              <w:bottom w:type="dxa" w:w="50"/>
              <w:right w:type="dxa" w:w="60"/>
            </w:tcMar>
            <w:vAlign w:val="center"/>
          </w:tcPr>
          <w:p>
            <w:r>
              <w:rPr>
                <w:b w:val="false"/>
                <w:bCs w:val="false"/>
                <w:color w:val="222222"/>
                <w:sz w:val="14"/>
                <w:szCs w:val="14"/>
              </w:rPr>
              <w:t xml:space="preserve">Int J Environ Res Public Health</w:t>
            </w:r>
          </w:p>
        </w:tc>
        <w:tc>
          <w:tcPr>
            <w:tcW w:type="dxa" w:w="5198"/>
            <w:tcMar>
              <w:top w:type="dxa" w:w="50"/>
              <w:left w:type="dxa" w:w="60"/>
              <w:bottom w:type="dxa" w:w="50"/>
              <w:right w:type="dxa" w:w="60"/>
            </w:tcMar>
            <w:vAlign w:val="center"/>
          </w:tcPr>
          <w:p>
            <w:hyperlink w:history="1" r:id="rIdw3lbdaen4d1vlnczbez5h">
              <w:r>
                <w:rPr>
                  <w:rStyle w:val="Hyperlink"/>
                  <w:sz w:val="14"/>
                  <w:szCs w:val="14"/>
                </w:rPr>
                <w:t xml:space="preserve">doi.org/10.3390/ijerph20032352</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82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Ku PW (2023)</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Exp Gerontol</w:t>
            </w:r>
          </w:p>
        </w:tc>
        <w:tc>
          <w:tcPr>
            <w:tcW w:type="dxa" w:w="5198"/>
            <w:shd w:fill="EAF1F8" w:val="clear"/>
            <w:tcMar>
              <w:top w:type="dxa" w:w="50"/>
              <w:left w:type="dxa" w:w="60"/>
              <w:bottom w:type="dxa" w:w="50"/>
              <w:right w:type="dxa" w:w="60"/>
            </w:tcMar>
            <w:vAlign w:val="center"/>
          </w:tcPr>
          <w:p>
            <w:hyperlink w:history="1" r:id="rIdqbqrhlaanwom5qejkjk0k">
              <w:r>
                <w:rPr>
                  <w:rStyle w:val="Hyperlink"/>
                  <w:sz w:val="14"/>
                  <w:szCs w:val="14"/>
                </w:rPr>
                <w:t xml:space="preserve">doi.org/10.1016/j.exger.2023.112148</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83</w:t>
            </w:r>
          </w:p>
        </w:tc>
        <w:tc>
          <w:tcPr>
            <w:tcW w:type="dxa" w:w="2300"/>
            <w:tcMar>
              <w:top w:type="dxa" w:w="50"/>
              <w:left w:type="dxa" w:w="60"/>
              <w:bottom w:type="dxa" w:w="50"/>
              <w:right w:type="dxa" w:w="60"/>
            </w:tcMar>
            <w:vAlign w:val="center"/>
          </w:tcPr>
          <w:p>
            <w:r>
              <w:rPr>
                <w:b w:val="false"/>
                <w:bCs w:val="false"/>
                <w:color w:val="222222"/>
                <w:sz w:val="14"/>
                <w:szCs w:val="14"/>
              </w:rPr>
              <w:t xml:space="preserve">Zhang J (2023)</w:t>
            </w:r>
          </w:p>
        </w:tc>
        <w:tc>
          <w:tcPr>
            <w:tcW w:type="dxa" w:w="4000"/>
            <w:tcMar>
              <w:top w:type="dxa" w:w="50"/>
              <w:left w:type="dxa" w:w="60"/>
              <w:bottom w:type="dxa" w:w="50"/>
              <w:right w:type="dxa" w:w="60"/>
            </w:tcMar>
            <w:vAlign w:val="center"/>
          </w:tcPr>
          <w:p>
            <w:r>
              <w:rPr>
                <w:b w:val="false"/>
                <w:bCs w:val="false"/>
                <w:color w:val="222222"/>
                <w:sz w:val="14"/>
                <w:szCs w:val="14"/>
              </w:rPr>
              <w:t xml:space="preserve">Front Public Health</w:t>
            </w:r>
          </w:p>
        </w:tc>
        <w:tc>
          <w:tcPr>
            <w:tcW w:type="dxa" w:w="5198"/>
            <w:tcMar>
              <w:top w:type="dxa" w:w="50"/>
              <w:left w:type="dxa" w:w="60"/>
              <w:bottom w:type="dxa" w:w="50"/>
              <w:right w:type="dxa" w:w="60"/>
            </w:tcMar>
            <w:vAlign w:val="center"/>
          </w:tcPr>
          <w:p>
            <w:hyperlink w:history="1" r:id="rIdnolyprf_dfk37ia2y6-jf">
              <w:r>
                <w:rPr>
                  <w:rStyle w:val="Hyperlink"/>
                  <w:sz w:val="14"/>
                  <w:szCs w:val="14"/>
                </w:rPr>
                <w:t xml:space="preserve">doi.org/10.3389/fpubh.2023.1137118</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84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Park H (2023)</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Mayo Clin Proc</w:t>
            </w:r>
          </w:p>
        </w:tc>
        <w:tc>
          <w:tcPr>
            <w:tcW w:type="dxa" w:w="5198"/>
            <w:shd w:fill="EAF1F8" w:val="clear"/>
            <w:tcMar>
              <w:top w:type="dxa" w:w="50"/>
              <w:left w:type="dxa" w:w="60"/>
              <w:bottom w:type="dxa" w:w="50"/>
              <w:right w:type="dxa" w:w="60"/>
            </w:tcMar>
            <w:vAlign w:val="center"/>
          </w:tcPr>
          <w:p>
            <w:hyperlink w:history="1" r:id="rIdxvkyoh6gbwec9loyqhpjr">
              <w:r>
                <w:rPr>
                  <w:rStyle w:val="Hyperlink"/>
                  <w:sz w:val="14"/>
                  <w:szCs w:val="14"/>
                </w:rPr>
                <w:t xml:space="preserve">doi.org/10.1016/j.mayocp.2023.04.017</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85</w:t>
            </w:r>
          </w:p>
        </w:tc>
        <w:tc>
          <w:tcPr>
            <w:tcW w:type="dxa" w:w="2300"/>
            <w:tcMar>
              <w:top w:type="dxa" w:w="50"/>
              <w:left w:type="dxa" w:w="60"/>
              <w:bottom w:type="dxa" w:w="50"/>
              <w:right w:type="dxa" w:w="60"/>
            </w:tcMar>
            <w:vAlign w:val="center"/>
          </w:tcPr>
          <w:p>
            <w:r>
              <w:rPr>
                <w:b w:val="false"/>
                <w:bCs w:val="false"/>
                <w:color w:val="222222"/>
                <w:sz w:val="14"/>
                <w:szCs w:val="14"/>
              </w:rPr>
              <w:t xml:space="preserve">Wu M (2021)</w:t>
            </w:r>
          </w:p>
        </w:tc>
        <w:tc>
          <w:tcPr>
            <w:tcW w:type="dxa" w:w="4000"/>
            <w:tcMar>
              <w:top w:type="dxa" w:w="50"/>
              <w:left w:type="dxa" w:w="60"/>
              <w:bottom w:type="dxa" w:w="50"/>
              <w:right w:type="dxa" w:w="60"/>
            </w:tcMar>
            <w:vAlign w:val="center"/>
          </w:tcPr>
          <w:p>
            <w:r>
              <w:rPr>
                <w:b w:val="false"/>
                <w:bCs w:val="false"/>
                <w:color w:val="222222"/>
                <w:sz w:val="14"/>
                <w:szCs w:val="14"/>
              </w:rPr>
              <w:t xml:space="preserve">J Affect Disord</w:t>
            </w:r>
          </w:p>
        </w:tc>
        <w:tc>
          <w:tcPr>
            <w:tcW w:type="dxa" w:w="5198"/>
            <w:tcMar>
              <w:top w:type="dxa" w:w="50"/>
              <w:left w:type="dxa" w:w="60"/>
              <w:bottom w:type="dxa" w:w="50"/>
              <w:right w:type="dxa" w:w="60"/>
            </w:tcMar>
            <w:vAlign w:val="center"/>
          </w:tcPr>
          <w:p>
            <w:hyperlink w:history="1" r:id="rId6qrpg0aufwbzhwsc1d90q">
              <w:r>
                <w:rPr>
                  <w:rStyle w:val="Hyperlink"/>
                  <w:sz w:val="14"/>
                  <w:szCs w:val="14"/>
                </w:rPr>
                <w:t xml:space="preserve">doi.org/10.1016/j.jad.2021.12.009</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86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Ao L (2022)</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BMC Geriatr</w:t>
            </w:r>
          </w:p>
        </w:tc>
        <w:tc>
          <w:tcPr>
            <w:tcW w:type="dxa" w:w="5198"/>
            <w:shd w:fill="EAF1F8" w:val="clear"/>
            <w:tcMar>
              <w:top w:type="dxa" w:w="50"/>
              <w:left w:type="dxa" w:w="60"/>
              <w:bottom w:type="dxa" w:w="50"/>
              <w:right w:type="dxa" w:w="60"/>
            </w:tcMar>
            <w:vAlign w:val="center"/>
          </w:tcPr>
          <w:p>
            <w:hyperlink w:history="1" r:id="rIdj1mcp7m2cf1p1v0vyegq2">
              <w:r>
                <w:rPr>
                  <w:rStyle w:val="Hyperlink"/>
                  <w:sz w:val="14"/>
                  <w:szCs w:val="14"/>
                </w:rPr>
                <w:t xml:space="preserve">doi.org/10.1186/s12877-022-03139-8</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28 (mantido, PMID direto)</w:t>
            </w:r>
          </w:p>
        </w:tc>
      </w:tr>
      <w:tr>
        <w:tc>
          <w:tcPr>
            <w:tcW w:type="dxa" w:w="500"/>
            <w:tcMar>
              <w:top w:type="dxa" w:w="50"/>
              <w:left w:type="dxa" w:w="60"/>
              <w:bottom w:type="dxa" w:w="50"/>
              <w:right w:type="dxa" w:w="60"/>
            </w:tcMar>
            <w:vAlign w:val="center"/>
          </w:tcPr>
          <w:p>
            <w:r>
              <w:rPr>
                <w:b w:val="false"/>
                <w:bCs w:val="false"/>
                <w:color w:val="222222"/>
                <w:sz w:val="14"/>
                <w:szCs w:val="14"/>
              </w:rPr>
              <w:t xml:space="preserve">87</w:t>
            </w:r>
          </w:p>
        </w:tc>
        <w:tc>
          <w:tcPr>
            <w:tcW w:type="dxa" w:w="2300"/>
            <w:tcMar>
              <w:top w:type="dxa" w:w="50"/>
              <w:left w:type="dxa" w:w="60"/>
              <w:bottom w:type="dxa" w:w="50"/>
              <w:right w:type="dxa" w:w="60"/>
            </w:tcMar>
            <w:vAlign w:val="center"/>
          </w:tcPr>
          <w:p>
            <w:r>
              <w:rPr>
                <w:b w:val="false"/>
                <w:bCs w:val="false"/>
                <w:color w:val="222222"/>
                <w:sz w:val="14"/>
                <w:szCs w:val="14"/>
              </w:rPr>
              <w:t xml:space="preserve">Wan Z (2026)</w:t>
            </w:r>
          </w:p>
        </w:tc>
        <w:tc>
          <w:tcPr>
            <w:tcW w:type="dxa" w:w="4000"/>
            <w:tcMar>
              <w:top w:type="dxa" w:w="50"/>
              <w:left w:type="dxa" w:w="60"/>
              <w:bottom w:type="dxa" w:w="50"/>
              <w:right w:type="dxa" w:w="60"/>
            </w:tcMar>
            <w:vAlign w:val="center"/>
          </w:tcPr>
          <w:p>
            <w:r>
              <w:rPr>
                <w:b w:val="false"/>
                <w:bCs w:val="false"/>
                <w:color w:val="222222"/>
                <w:sz w:val="14"/>
                <w:szCs w:val="14"/>
              </w:rPr>
              <w:t xml:space="preserve">Int J Biometeorol</w:t>
            </w:r>
          </w:p>
        </w:tc>
        <w:tc>
          <w:tcPr>
            <w:tcW w:type="dxa" w:w="5198"/>
            <w:tcMar>
              <w:top w:type="dxa" w:w="50"/>
              <w:left w:type="dxa" w:w="60"/>
              <w:bottom w:type="dxa" w:w="50"/>
              <w:right w:type="dxa" w:w="60"/>
            </w:tcMar>
            <w:vAlign w:val="center"/>
          </w:tcPr>
          <w:p>
            <w:hyperlink w:history="1" r:id="rIdjlgxg1xedq3z7irp-ytnj">
              <w:r>
                <w:rPr>
                  <w:rStyle w:val="Hyperlink"/>
                  <w:sz w:val="14"/>
                  <w:szCs w:val="14"/>
                </w:rPr>
                <w:t xml:space="preserve">doi.org/10.1007/s00484-025-03122-z</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88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Curto A (2026)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Diabetes Care</w:t>
            </w:r>
          </w:p>
        </w:tc>
        <w:tc>
          <w:tcPr>
            <w:tcW w:type="dxa" w:w="5198"/>
            <w:shd w:fill="EAF1F8" w:val="clear"/>
            <w:tcMar>
              <w:top w:type="dxa" w:w="50"/>
              <w:left w:type="dxa" w:w="60"/>
              <w:bottom w:type="dxa" w:w="50"/>
              <w:right w:type="dxa" w:w="60"/>
            </w:tcMar>
            <w:vAlign w:val="center"/>
          </w:tcPr>
          <w:p>
            <w:hyperlink w:history="1" r:id="rIdxfvmcqvx1jpmkvjcwnicn">
              <w:r>
                <w:rPr>
                  <w:rStyle w:val="Hyperlink"/>
                  <w:sz w:val="14"/>
                  <w:szCs w:val="14"/>
                </w:rPr>
                <w:t xml:space="preserve">doi.org/10.2337/dc25-2497</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89</w:t>
            </w:r>
          </w:p>
        </w:tc>
        <w:tc>
          <w:tcPr>
            <w:tcW w:type="dxa" w:w="2300"/>
            <w:tcMar>
              <w:top w:type="dxa" w:w="50"/>
              <w:left w:type="dxa" w:w="60"/>
              <w:bottom w:type="dxa" w:w="50"/>
              <w:right w:type="dxa" w:w="60"/>
            </w:tcMar>
            <w:vAlign w:val="center"/>
          </w:tcPr>
          <w:p>
            <w:r>
              <w:rPr>
                <w:b w:val="false"/>
                <w:bCs w:val="false"/>
                <w:color w:val="222222"/>
                <w:sz w:val="14"/>
                <w:szCs w:val="14"/>
              </w:rPr>
              <w:t xml:space="preserve">Yılmaz S (2026)</w:t>
            </w:r>
          </w:p>
        </w:tc>
        <w:tc>
          <w:tcPr>
            <w:tcW w:type="dxa" w:w="4000"/>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tcMar>
              <w:top w:type="dxa" w:w="50"/>
              <w:left w:type="dxa" w:w="60"/>
              <w:bottom w:type="dxa" w:w="50"/>
              <w:right w:type="dxa" w:w="60"/>
            </w:tcMar>
            <w:vAlign w:val="center"/>
          </w:tcPr>
          <w:p>
            <w:hyperlink w:history="1" r:id="rIdulax1fui6m5dj_bsrkbkt">
              <w:r>
                <w:rPr>
                  <w:rStyle w:val="Hyperlink"/>
                  <w:sz w:val="14"/>
                  <w:szCs w:val="14"/>
                </w:rPr>
                <w:t xml:space="preserve">doi.org/10.1186/s12889-026-27950-9</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90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Liu Q (2026)</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Zhonghua Liu Xing Bing Xue Za Zhi</w:t>
            </w:r>
          </w:p>
        </w:tc>
        <w:tc>
          <w:tcPr>
            <w:tcW w:type="dxa" w:w="5198"/>
            <w:shd w:fill="EAF1F8" w:val="clear"/>
            <w:tcMar>
              <w:top w:type="dxa" w:w="50"/>
              <w:left w:type="dxa" w:w="60"/>
              <w:bottom w:type="dxa" w:w="50"/>
              <w:right w:type="dxa" w:w="60"/>
            </w:tcMar>
            <w:vAlign w:val="center"/>
          </w:tcPr>
          <w:p>
            <w:hyperlink w:history="1" r:id="rIdhoddguwfwd7e5vemn8pqd">
              <w:r>
                <w:rPr>
                  <w:rStyle w:val="Hyperlink"/>
                  <w:sz w:val="14"/>
                  <w:szCs w:val="14"/>
                </w:rPr>
                <w:t xml:space="preserve">doi.org/10.3760/cma.j.cn112338-20251220-00911</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91</w:t>
            </w:r>
          </w:p>
        </w:tc>
        <w:tc>
          <w:tcPr>
            <w:tcW w:type="dxa" w:w="2300"/>
            <w:tcMar>
              <w:top w:type="dxa" w:w="50"/>
              <w:left w:type="dxa" w:w="60"/>
              <w:bottom w:type="dxa" w:w="50"/>
              <w:right w:type="dxa" w:w="60"/>
            </w:tcMar>
            <w:vAlign w:val="center"/>
          </w:tcPr>
          <w:p>
            <w:r>
              <w:rPr>
                <w:b w:val="false"/>
                <w:bCs w:val="false"/>
                <w:color w:val="222222"/>
                <w:sz w:val="14"/>
                <w:szCs w:val="14"/>
              </w:rPr>
              <w:t xml:space="preserve">Zhu A (2025)</w:t>
            </w:r>
          </w:p>
        </w:tc>
        <w:tc>
          <w:tcPr>
            <w:tcW w:type="dxa" w:w="4000"/>
            <w:tcMar>
              <w:top w:type="dxa" w:w="50"/>
              <w:left w:type="dxa" w:w="60"/>
              <w:bottom w:type="dxa" w:w="50"/>
              <w:right w:type="dxa" w:w="60"/>
            </w:tcMar>
            <w:vAlign w:val="center"/>
          </w:tcPr>
          <w:p>
            <w:r>
              <w:rPr>
                <w:b w:val="false"/>
                <w:bCs w:val="false"/>
                <w:color w:val="222222"/>
                <w:sz w:val="14"/>
                <w:szCs w:val="14"/>
              </w:rPr>
              <w:t xml:space="preserve">J Gerontol A Biol Sci Med Sci</w:t>
            </w:r>
          </w:p>
        </w:tc>
        <w:tc>
          <w:tcPr>
            <w:tcW w:type="dxa" w:w="5198"/>
            <w:tcMar>
              <w:top w:type="dxa" w:w="50"/>
              <w:left w:type="dxa" w:w="60"/>
              <w:bottom w:type="dxa" w:w="50"/>
              <w:right w:type="dxa" w:w="60"/>
            </w:tcMar>
            <w:vAlign w:val="center"/>
          </w:tcPr>
          <w:p>
            <w:hyperlink w:history="1" r:id="rIdlj0jp1vu1b46bijfhgz9f">
              <w:r>
                <w:rPr>
                  <w:rStyle w:val="Hyperlink"/>
                  <w:sz w:val="14"/>
                  <w:szCs w:val="14"/>
                </w:rPr>
                <w:t xml:space="preserve">doi.org/10.1093/gerona/glae302</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92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Dalecká A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Int J Hyg Environ Health</w:t>
            </w:r>
          </w:p>
        </w:tc>
        <w:tc>
          <w:tcPr>
            <w:tcW w:type="dxa" w:w="5198"/>
            <w:shd w:fill="EAF1F8" w:val="clear"/>
            <w:tcMar>
              <w:top w:type="dxa" w:w="50"/>
              <w:left w:type="dxa" w:w="60"/>
              <w:bottom w:type="dxa" w:w="50"/>
              <w:right w:type="dxa" w:w="60"/>
            </w:tcMar>
            <w:vAlign w:val="center"/>
          </w:tcPr>
          <w:p>
            <w:hyperlink w:history="1" r:id="rId3vdndru8t2xys5uhjwsb5">
              <w:r>
                <w:rPr>
                  <w:rStyle w:val="Hyperlink"/>
                  <w:sz w:val="14"/>
                  <w:szCs w:val="14"/>
                </w:rPr>
                <w:t xml:space="preserve">doi.org/10.1016/j.ijheh.2025.114521</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93</w:t>
            </w:r>
          </w:p>
        </w:tc>
        <w:tc>
          <w:tcPr>
            <w:tcW w:type="dxa" w:w="2300"/>
            <w:tcMar>
              <w:top w:type="dxa" w:w="50"/>
              <w:left w:type="dxa" w:w="60"/>
              <w:bottom w:type="dxa" w:w="50"/>
              <w:right w:type="dxa" w:w="60"/>
            </w:tcMar>
            <w:vAlign w:val="center"/>
          </w:tcPr>
          <w:p>
            <w:r>
              <w:rPr>
                <w:b w:val="false"/>
                <w:bCs w:val="false"/>
                <w:color w:val="222222"/>
                <w:sz w:val="14"/>
                <w:szCs w:val="14"/>
              </w:rPr>
              <w:t xml:space="preserve">Liu X (2025)</w:t>
            </w:r>
          </w:p>
        </w:tc>
        <w:tc>
          <w:tcPr>
            <w:tcW w:type="dxa" w:w="4000"/>
            <w:tcMar>
              <w:top w:type="dxa" w:w="50"/>
              <w:left w:type="dxa" w:w="60"/>
              <w:bottom w:type="dxa" w:w="50"/>
              <w:right w:type="dxa" w:w="60"/>
            </w:tcMar>
            <w:vAlign w:val="center"/>
          </w:tcPr>
          <w:p>
            <w:r>
              <w:rPr>
                <w:b w:val="false"/>
                <w:bCs w:val="false"/>
                <w:color w:val="222222"/>
                <w:sz w:val="14"/>
                <w:szCs w:val="14"/>
              </w:rPr>
              <w:t xml:space="preserve">Sci Rep</w:t>
            </w:r>
          </w:p>
        </w:tc>
        <w:tc>
          <w:tcPr>
            <w:tcW w:type="dxa" w:w="5198"/>
            <w:tcMar>
              <w:top w:type="dxa" w:w="50"/>
              <w:left w:type="dxa" w:w="60"/>
              <w:bottom w:type="dxa" w:w="50"/>
              <w:right w:type="dxa" w:w="60"/>
            </w:tcMar>
            <w:vAlign w:val="center"/>
          </w:tcPr>
          <w:p>
            <w:hyperlink w:history="1" r:id="rId7xptqjauxx1vu3qa6nsqg">
              <w:r>
                <w:rPr>
                  <w:rStyle w:val="Hyperlink"/>
                  <w:sz w:val="14"/>
                  <w:szCs w:val="14"/>
                </w:rPr>
                <w:t xml:space="preserve">doi.org/10.1038/s41598-025-00160-w</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94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Yu Z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shd w:fill="EAF1F8" w:val="clear"/>
            <w:tcMar>
              <w:top w:type="dxa" w:w="50"/>
              <w:left w:type="dxa" w:w="60"/>
              <w:bottom w:type="dxa" w:w="50"/>
              <w:right w:type="dxa" w:w="60"/>
            </w:tcMar>
            <w:vAlign w:val="center"/>
          </w:tcPr>
          <w:p>
            <w:hyperlink w:history="1" r:id="rIdhoog7b6kzpbtwranhwnlb">
              <w:r>
                <w:rPr>
                  <w:rStyle w:val="Hyperlink"/>
                  <w:sz w:val="14"/>
                  <w:szCs w:val="14"/>
                </w:rPr>
                <w:t xml:space="preserve">doi.org/10.1186/s12889-025-23211-3</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95</w:t>
            </w:r>
          </w:p>
        </w:tc>
        <w:tc>
          <w:tcPr>
            <w:tcW w:type="dxa" w:w="2300"/>
            <w:tcMar>
              <w:top w:type="dxa" w:w="50"/>
              <w:left w:type="dxa" w:w="60"/>
              <w:bottom w:type="dxa" w:w="50"/>
              <w:right w:type="dxa" w:w="60"/>
            </w:tcMar>
            <w:vAlign w:val="center"/>
          </w:tcPr>
          <w:p>
            <w:r>
              <w:rPr>
                <w:b w:val="false"/>
                <w:bCs w:val="false"/>
                <w:color w:val="222222"/>
                <w:sz w:val="14"/>
                <w:szCs w:val="14"/>
              </w:rPr>
              <w:t xml:space="preserve">Chen CH (2025)</w:t>
            </w:r>
          </w:p>
        </w:tc>
        <w:tc>
          <w:tcPr>
            <w:tcW w:type="dxa" w:w="4000"/>
            <w:tcMar>
              <w:top w:type="dxa" w:w="50"/>
              <w:left w:type="dxa" w:w="60"/>
              <w:bottom w:type="dxa" w:w="50"/>
              <w:right w:type="dxa" w:w="60"/>
            </w:tcMar>
            <w:vAlign w:val="center"/>
          </w:tcPr>
          <w:p>
            <w:r>
              <w:rPr>
                <w:b w:val="false"/>
                <w:bCs w:val="false"/>
                <w:color w:val="222222"/>
                <w:sz w:val="14"/>
                <w:szCs w:val="14"/>
              </w:rPr>
              <w:t xml:space="preserve">Environ Health Prev Med</w:t>
            </w:r>
          </w:p>
        </w:tc>
        <w:tc>
          <w:tcPr>
            <w:tcW w:type="dxa" w:w="5198"/>
            <w:tcMar>
              <w:top w:type="dxa" w:w="50"/>
              <w:left w:type="dxa" w:w="60"/>
              <w:bottom w:type="dxa" w:w="50"/>
              <w:right w:type="dxa" w:w="60"/>
            </w:tcMar>
            <w:vAlign w:val="center"/>
          </w:tcPr>
          <w:p>
            <w:hyperlink w:history="1" r:id="rIdyjibtnegtk2ghzcyiojhh">
              <w:r>
                <w:rPr>
                  <w:rStyle w:val="Hyperlink"/>
                  <w:sz w:val="14"/>
                  <w:szCs w:val="14"/>
                </w:rPr>
                <w:t xml:space="preserve">doi.org/10.1265/ehpm.24-00357</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96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Lan Y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Sci Rep</w:t>
            </w:r>
          </w:p>
        </w:tc>
        <w:tc>
          <w:tcPr>
            <w:tcW w:type="dxa" w:w="5198"/>
            <w:shd w:fill="EAF1F8" w:val="clear"/>
            <w:tcMar>
              <w:top w:type="dxa" w:w="50"/>
              <w:left w:type="dxa" w:w="60"/>
              <w:bottom w:type="dxa" w:w="50"/>
              <w:right w:type="dxa" w:w="60"/>
            </w:tcMar>
            <w:vAlign w:val="center"/>
          </w:tcPr>
          <w:p>
            <w:hyperlink w:history="1" r:id="rIdejrnu5_bttis6t-bac_0i">
              <w:r>
                <w:rPr>
                  <w:rStyle w:val="Hyperlink"/>
                  <w:sz w:val="14"/>
                  <w:szCs w:val="14"/>
                </w:rPr>
                <w:t xml:space="preserve">doi.org/10.1038/s41598-025-15114-5</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97</w:t>
            </w:r>
          </w:p>
        </w:tc>
        <w:tc>
          <w:tcPr>
            <w:tcW w:type="dxa" w:w="2300"/>
            <w:tcMar>
              <w:top w:type="dxa" w:w="50"/>
              <w:left w:type="dxa" w:w="60"/>
              <w:bottom w:type="dxa" w:w="50"/>
              <w:right w:type="dxa" w:w="60"/>
            </w:tcMar>
            <w:vAlign w:val="center"/>
          </w:tcPr>
          <w:p>
            <w:r>
              <w:rPr>
                <w:b w:val="false"/>
                <w:bCs w:val="false"/>
                <w:color w:val="222222"/>
                <w:sz w:val="14"/>
                <w:szCs w:val="14"/>
              </w:rPr>
              <w:t xml:space="preserve">Zhao Q (2025)</w:t>
            </w:r>
          </w:p>
        </w:tc>
        <w:tc>
          <w:tcPr>
            <w:tcW w:type="dxa" w:w="4000"/>
            <w:tcMar>
              <w:top w:type="dxa" w:w="50"/>
              <w:left w:type="dxa" w:w="60"/>
              <w:bottom w:type="dxa" w:w="50"/>
              <w:right w:type="dxa" w:w="60"/>
            </w:tcMar>
            <w:vAlign w:val="center"/>
          </w:tcPr>
          <w:p>
            <w:r>
              <w:rPr>
                <w:b w:val="false"/>
                <w:bCs w:val="false"/>
                <w:color w:val="222222"/>
                <w:sz w:val="14"/>
                <w:szCs w:val="14"/>
              </w:rPr>
              <w:t xml:space="preserve">J Gerontol A Biol Sci Med Sci</w:t>
            </w:r>
          </w:p>
        </w:tc>
        <w:tc>
          <w:tcPr>
            <w:tcW w:type="dxa" w:w="5198"/>
            <w:tcMar>
              <w:top w:type="dxa" w:w="50"/>
              <w:left w:type="dxa" w:w="60"/>
              <w:bottom w:type="dxa" w:w="50"/>
              <w:right w:type="dxa" w:w="60"/>
            </w:tcMar>
            <w:vAlign w:val="center"/>
          </w:tcPr>
          <w:p>
            <w:hyperlink w:history="1" r:id="rIdzuibpfbwhdofkhnkzovtm">
              <w:r>
                <w:rPr>
                  <w:rStyle w:val="Hyperlink"/>
                  <w:sz w:val="14"/>
                  <w:szCs w:val="14"/>
                </w:rPr>
                <w:t xml:space="preserve">doi.org/10.1093/gerona/glaf171</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98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Zeng T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Environ Health Prev Med</w:t>
            </w:r>
          </w:p>
        </w:tc>
        <w:tc>
          <w:tcPr>
            <w:tcW w:type="dxa" w:w="5198"/>
            <w:shd w:fill="EAF1F8" w:val="clear"/>
            <w:tcMar>
              <w:top w:type="dxa" w:w="50"/>
              <w:left w:type="dxa" w:w="60"/>
              <w:bottom w:type="dxa" w:w="50"/>
              <w:right w:type="dxa" w:w="60"/>
            </w:tcMar>
            <w:vAlign w:val="center"/>
          </w:tcPr>
          <w:p>
            <w:hyperlink w:history="1" r:id="rIdkjrcc2izos-3ocrfc-bnh">
              <w:r>
                <w:rPr>
                  <w:rStyle w:val="Hyperlink"/>
                  <w:sz w:val="14"/>
                  <w:szCs w:val="14"/>
                </w:rPr>
                <w:t xml:space="preserve">doi.org/10.1265/ehpm.24-00280</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99</w:t>
            </w:r>
          </w:p>
        </w:tc>
        <w:tc>
          <w:tcPr>
            <w:tcW w:type="dxa" w:w="2300"/>
            <w:tcMar>
              <w:top w:type="dxa" w:w="50"/>
              <w:left w:type="dxa" w:w="60"/>
              <w:bottom w:type="dxa" w:w="50"/>
              <w:right w:type="dxa" w:w="60"/>
            </w:tcMar>
            <w:vAlign w:val="center"/>
          </w:tcPr>
          <w:p>
            <w:r>
              <w:rPr>
                <w:b w:val="false"/>
                <w:bCs w:val="false"/>
                <w:color w:val="222222"/>
                <w:sz w:val="14"/>
                <w:szCs w:val="14"/>
              </w:rPr>
              <w:t xml:space="preserve">Fu H (2025)</w:t>
            </w:r>
          </w:p>
        </w:tc>
        <w:tc>
          <w:tcPr>
            <w:tcW w:type="dxa" w:w="4000"/>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tcMar>
              <w:top w:type="dxa" w:w="50"/>
              <w:left w:type="dxa" w:w="60"/>
              <w:bottom w:type="dxa" w:w="50"/>
              <w:right w:type="dxa" w:w="60"/>
            </w:tcMar>
            <w:vAlign w:val="center"/>
          </w:tcPr>
          <w:p>
            <w:hyperlink w:history="1" r:id="rId1ylamp2rxfs7pbcpvfvl-">
              <w:r>
                <w:rPr>
                  <w:rStyle w:val="Hyperlink"/>
                  <w:sz w:val="14"/>
                  <w:szCs w:val="14"/>
                </w:rPr>
                <w:t xml:space="preserve">doi.org/10.1186/s12889-025-24837-z</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100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Hong J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Clin Transplant</w:t>
            </w:r>
          </w:p>
        </w:tc>
        <w:tc>
          <w:tcPr>
            <w:tcW w:type="dxa" w:w="5198"/>
            <w:shd w:fill="EAF1F8" w:val="clear"/>
            <w:tcMar>
              <w:top w:type="dxa" w:w="50"/>
              <w:left w:type="dxa" w:w="60"/>
              <w:bottom w:type="dxa" w:w="50"/>
              <w:right w:type="dxa" w:w="60"/>
            </w:tcMar>
            <w:vAlign w:val="center"/>
          </w:tcPr>
          <w:p>
            <w:hyperlink w:history="1" r:id="rId4ddskvtlfqonjgs26ijxp">
              <w:r>
                <w:rPr>
                  <w:rStyle w:val="Hyperlink"/>
                  <w:sz w:val="14"/>
                  <w:szCs w:val="14"/>
                </w:rPr>
                <w:t xml:space="preserve">doi.org/10.1111/ctr.70376</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101</w:t>
            </w:r>
          </w:p>
        </w:tc>
        <w:tc>
          <w:tcPr>
            <w:tcW w:type="dxa" w:w="2300"/>
            <w:tcMar>
              <w:top w:type="dxa" w:w="50"/>
              <w:left w:type="dxa" w:w="60"/>
              <w:bottom w:type="dxa" w:w="50"/>
              <w:right w:type="dxa" w:w="60"/>
            </w:tcMar>
            <w:vAlign w:val="center"/>
          </w:tcPr>
          <w:p>
            <w:r>
              <w:rPr>
                <w:b w:val="false"/>
                <w:bCs w:val="false"/>
                <w:color w:val="222222"/>
                <w:sz w:val="14"/>
                <w:szCs w:val="14"/>
              </w:rPr>
              <w:t xml:space="preserve">Li A (2024)</w:t>
            </w:r>
          </w:p>
        </w:tc>
        <w:tc>
          <w:tcPr>
            <w:tcW w:type="dxa" w:w="4000"/>
            <w:tcMar>
              <w:top w:type="dxa" w:w="50"/>
              <w:left w:type="dxa" w:w="60"/>
              <w:bottom w:type="dxa" w:w="50"/>
              <w:right w:type="dxa" w:w="60"/>
            </w:tcMar>
            <w:vAlign w:val="center"/>
          </w:tcPr>
          <w:p>
            <w:r>
              <w:rPr>
                <w:b w:val="false"/>
                <w:bCs w:val="false"/>
                <w:color w:val="222222"/>
                <w:sz w:val="14"/>
                <w:szCs w:val="14"/>
              </w:rPr>
              <w:t xml:space="preserve">Environ Pollut</w:t>
            </w:r>
          </w:p>
        </w:tc>
        <w:tc>
          <w:tcPr>
            <w:tcW w:type="dxa" w:w="5198"/>
            <w:tcMar>
              <w:top w:type="dxa" w:w="50"/>
              <w:left w:type="dxa" w:w="60"/>
              <w:bottom w:type="dxa" w:w="50"/>
              <w:right w:type="dxa" w:w="60"/>
            </w:tcMar>
            <w:vAlign w:val="center"/>
          </w:tcPr>
          <w:p>
            <w:hyperlink w:history="1" r:id="rIdvrmlaxpp4tkuyecqxafzw">
              <w:r>
                <w:rPr>
                  <w:rStyle w:val="Hyperlink"/>
                  <w:sz w:val="14"/>
                  <w:szCs w:val="14"/>
                </w:rPr>
                <w:t xml:space="preserve">doi.org/10.1016/j.envpol.2024.123540</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102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Hu X (2024)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BMC Med</w:t>
            </w:r>
          </w:p>
        </w:tc>
        <w:tc>
          <w:tcPr>
            <w:tcW w:type="dxa" w:w="5198"/>
            <w:shd w:fill="EAF1F8" w:val="clear"/>
            <w:tcMar>
              <w:top w:type="dxa" w:w="50"/>
              <w:left w:type="dxa" w:w="60"/>
              <w:bottom w:type="dxa" w:w="50"/>
              <w:right w:type="dxa" w:w="60"/>
            </w:tcMar>
            <w:vAlign w:val="center"/>
          </w:tcPr>
          <w:p>
            <w:hyperlink w:history="1" r:id="rId3pk38rviujz8jdghjceyp">
              <w:r>
                <w:rPr>
                  <w:rStyle w:val="Hyperlink"/>
                  <w:sz w:val="14"/>
                  <w:szCs w:val="14"/>
                </w:rPr>
                <w:t xml:space="preserve">doi.org/10.1186/s12916-024-03316-z</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103</w:t>
            </w:r>
          </w:p>
        </w:tc>
        <w:tc>
          <w:tcPr>
            <w:tcW w:type="dxa" w:w="2300"/>
            <w:tcMar>
              <w:top w:type="dxa" w:w="50"/>
              <w:left w:type="dxa" w:w="60"/>
              <w:bottom w:type="dxa" w:w="50"/>
              <w:right w:type="dxa" w:w="60"/>
            </w:tcMar>
            <w:vAlign w:val="center"/>
          </w:tcPr>
          <w:p>
            <w:r>
              <w:rPr>
                <w:b w:val="false"/>
                <w:bCs w:val="false"/>
                <w:color w:val="222222"/>
                <w:sz w:val="14"/>
                <w:szCs w:val="14"/>
              </w:rPr>
              <w:t xml:space="preserve">Ma X (2024)</w:t>
            </w:r>
          </w:p>
        </w:tc>
        <w:tc>
          <w:tcPr>
            <w:tcW w:type="dxa" w:w="4000"/>
            <w:tcMar>
              <w:top w:type="dxa" w:w="50"/>
              <w:left w:type="dxa" w:w="60"/>
              <w:bottom w:type="dxa" w:w="50"/>
              <w:right w:type="dxa" w:w="60"/>
            </w:tcMar>
            <w:vAlign w:val="center"/>
          </w:tcPr>
          <w:p>
            <w:r>
              <w:rPr>
                <w:b w:val="false"/>
                <w:bCs w:val="false"/>
                <w:color w:val="222222"/>
                <w:sz w:val="14"/>
                <w:szCs w:val="14"/>
              </w:rPr>
              <w:t xml:space="preserve">Environ Int</w:t>
            </w:r>
          </w:p>
        </w:tc>
        <w:tc>
          <w:tcPr>
            <w:tcW w:type="dxa" w:w="5198"/>
            <w:tcMar>
              <w:top w:type="dxa" w:w="50"/>
              <w:left w:type="dxa" w:w="60"/>
              <w:bottom w:type="dxa" w:w="50"/>
              <w:right w:type="dxa" w:w="60"/>
            </w:tcMar>
            <w:vAlign w:val="center"/>
          </w:tcPr>
          <w:p>
            <w:hyperlink w:history="1" r:id="rIdnr5zqexdejw2s-s1pvwqj">
              <w:r>
                <w:rPr>
                  <w:rStyle w:val="Hyperlink"/>
                  <w:sz w:val="14"/>
                  <w:szCs w:val="14"/>
                </w:rPr>
                <w:t xml:space="preserve">doi.org/10.1016/j.envint.2024.108637</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104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Liu X (2024)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BMC Public Health</w:t>
            </w:r>
          </w:p>
        </w:tc>
        <w:tc>
          <w:tcPr>
            <w:tcW w:type="dxa" w:w="5198"/>
            <w:shd w:fill="EAF1F8" w:val="clear"/>
            <w:tcMar>
              <w:top w:type="dxa" w:w="50"/>
              <w:left w:type="dxa" w:w="60"/>
              <w:bottom w:type="dxa" w:w="50"/>
              <w:right w:type="dxa" w:w="60"/>
            </w:tcMar>
            <w:vAlign w:val="center"/>
          </w:tcPr>
          <w:p>
            <w:hyperlink w:history="1" r:id="rIdg-ayxpvodubckawbaxdhg">
              <w:r>
                <w:rPr>
                  <w:rStyle w:val="Hyperlink"/>
                  <w:sz w:val="14"/>
                  <w:szCs w:val="14"/>
                </w:rPr>
                <w:t xml:space="preserve">doi.org/10.1186/s12889-024-18834-x</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105</w:t>
            </w:r>
          </w:p>
        </w:tc>
        <w:tc>
          <w:tcPr>
            <w:tcW w:type="dxa" w:w="2300"/>
            <w:tcMar>
              <w:top w:type="dxa" w:w="50"/>
              <w:left w:type="dxa" w:w="60"/>
              <w:bottom w:type="dxa" w:w="50"/>
              <w:right w:type="dxa" w:w="60"/>
            </w:tcMar>
            <w:vAlign w:val="center"/>
          </w:tcPr>
          <w:p>
            <w:r>
              <w:rPr>
                <w:b w:val="false"/>
                <w:bCs w:val="false"/>
                <w:color w:val="222222"/>
                <w:sz w:val="14"/>
                <w:szCs w:val="14"/>
              </w:rPr>
              <w:t xml:space="preserve">Zhang Y (2024)</w:t>
            </w:r>
          </w:p>
        </w:tc>
        <w:tc>
          <w:tcPr>
            <w:tcW w:type="dxa" w:w="4000"/>
            <w:tcMar>
              <w:top w:type="dxa" w:w="50"/>
              <w:left w:type="dxa" w:w="60"/>
              <w:bottom w:type="dxa" w:w="50"/>
              <w:right w:type="dxa" w:w="60"/>
            </w:tcMar>
            <w:vAlign w:val="center"/>
          </w:tcPr>
          <w:p>
            <w:r>
              <w:rPr>
                <w:b w:val="false"/>
                <w:bCs w:val="false"/>
                <w:color w:val="222222"/>
                <w:sz w:val="14"/>
                <w:szCs w:val="14"/>
              </w:rPr>
              <w:t xml:space="preserve">Environ Int</w:t>
            </w:r>
          </w:p>
        </w:tc>
        <w:tc>
          <w:tcPr>
            <w:tcW w:type="dxa" w:w="5198"/>
            <w:tcMar>
              <w:top w:type="dxa" w:w="50"/>
              <w:left w:type="dxa" w:w="60"/>
              <w:bottom w:type="dxa" w:w="50"/>
              <w:right w:type="dxa" w:w="60"/>
            </w:tcMar>
            <w:vAlign w:val="center"/>
          </w:tcPr>
          <w:p>
            <w:hyperlink w:history="1" r:id="rId19unmxsiguvurl_4a7-g6">
              <w:r>
                <w:rPr>
                  <w:rStyle w:val="Hyperlink"/>
                  <w:sz w:val="14"/>
                  <w:szCs w:val="14"/>
                </w:rPr>
                <w:t xml:space="preserve">doi.org/10.1016/j.envint.2024.108870</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106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Chen CH (2024)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Ecotoxicol Environ Saf</w:t>
            </w:r>
          </w:p>
        </w:tc>
        <w:tc>
          <w:tcPr>
            <w:tcW w:type="dxa" w:w="5198"/>
            <w:shd w:fill="EAF1F8" w:val="clear"/>
            <w:tcMar>
              <w:top w:type="dxa" w:w="50"/>
              <w:left w:type="dxa" w:w="60"/>
              <w:bottom w:type="dxa" w:w="50"/>
              <w:right w:type="dxa" w:w="60"/>
            </w:tcMar>
            <w:vAlign w:val="center"/>
          </w:tcPr>
          <w:p>
            <w:hyperlink w:history="1" r:id="rIdexkah3pezmc24sw1ivk_e">
              <w:r>
                <w:rPr>
                  <w:rStyle w:val="Hyperlink"/>
                  <w:sz w:val="14"/>
                  <w:szCs w:val="14"/>
                </w:rPr>
                <w:t xml:space="preserve">doi.org/10.1016/j.ecoenv.2024.117140</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107</w:t>
            </w:r>
          </w:p>
        </w:tc>
        <w:tc>
          <w:tcPr>
            <w:tcW w:type="dxa" w:w="2300"/>
            <w:tcMar>
              <w:top w:type="dxa" w:w="50"/>
              <w:left w:type="dxa" w:w="60"/>
              <w:bottom w:type="dxa" w:w="50"/>
              <w:right w:type="dxa" w:w="60"/>
            </w:tcMar>
            <w:vAlign w:val="center"/>
          </w:tcPr>
          <w:p>
            <w:r>
              <w:rPr>
                <w:b w:val="false"/>
                <w:bCs w:val="false"/>
                <w:color w:val="222222"/>
                <w:sz w:val="14"/>
                <w:szCs w:val="14"/>
              </w:rPr>
              <w:t xml:space="preserve">Song J (2022)</w:t>
            </w:r>
          </w:p>
        </w:tc>
        <w:tc>
          <w:tcPr>
            <w:tcW w:type="dxa" w:w="4000"/>
            <w:tcMar>
              <w:top w:type="dxa" w:w="50"/>
              <w:left w:type="dxa" w:w="60"/>
              <w:bottom w:type="dxa" w:w="50"/>
              <w:right w:type="dxa" w:w="60"/>
            </w:tcMar>
            <w:vAlign w:val="center"/>
          </w:tcPr>
          <w:p>
            <w:r>
              <w:rPr>
                <w:b w:val="false"/>
                <w:bCs w:val="false"/>
                <w:color w:val="222222"/>
                <w:sz w:val="14"/>
                <w:szCs w:val="14"/>
              </w:rPr>
              <w:t xml:space="preserve">Ecotoxicol Environ Saf</w:t>
            </w:r>
          </w:p>
        </w:tc>
        <w:tc>
          <w:tcPr>
            <w:tcW w:type="dxa" w:w="5198"/>
            <w:tcMar>
              <w:top w:type="dxa" w:w="50"/>
              <w:left w:type="dxa" w:w="60"/>
              <w:bottom w:type="dxa" w:w="50"/>
              <w:right w:type="dxa" w:w="60"/>
            </w:tcMar>
            <w:vAlign w:val="center"/>
          </w:tcPr>
          <w:p>
            <w:hyperlink w:history="1" r:id="rIdepbqh1_9ql_s0hitrd0tq">
              <w:r>
                <w:rPr>
                  <w:rStyle w:val="Hyperlink"/>
                  <w:sz w:val="14"/>
                  <w:szCs w:val="14"/>
                </w:rPr>
                <w:t xml:space="preserve">doi.org/10.1016/j.ecoenv.2022.114423</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108</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Xu T (2023)</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Environ Int</w:t>
            </w:r>
          </w:p>
        </w:tc>
        <w:tc>
          <w:tcPr>
            <w:tcW w:type="dxa" w:w="5198"/>
            <w:shd w:fill="EAF1F8" w:val="clear"/>
            <w:tcMar>
              <w:top w:type="dxa" w:w="50"/>
              <w:left w:type="dxa" w:w="60"/>
              <w:bottom w:type="dxa" w:w="50"/>
              <w:right w:type="dxa" w:w="60"/>
            </w:tcMar>
            <w:vAlign w:val="center"/>
          </w:tcPr>
          <w:p>
            <w:hyperlink w:history="1" r:id="rIdgrmefgwifpcwaxwiyfqvs">
              <w:r>
                <w:rPr>
                  <w:rStyle w:val="Hyperlink"/>
                  <w:sz w:val="14"/>
                  <w:szCs w:val="14"/>
                </w:rPr>
                <w:t xml:space="preserve">doi.org/10.1016/j.envint.2023.107803</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109</w:t>
            </w:r>
          </w:p>
        </w:tc>
        <w:tc>
          <w:tcPr>
            <w:tcW w:type="dxa" w:w="2300"/>
            <w:tcMar>
              <w:top w:type="dxa" w:w="50"/>
              <w:left w:type="dxa" w:w="60"/>
              <w:bottom w:type="dxa" w:w="50"/>
              <w:right w:type="dxa" w:w="60"/>
            </w:tcMar>
            <w:vAlign w:val="center"/>
          </w:tcPr>
          <w:p>
            <w:r>
              <w:rPr>
                <w:b w:val="false"/>
                <w:bCs w:val="false"/>
                <w:color w:val="222222"/>
                <w:sz w:val="14"/>
                <w:szCs w:val="14"/>
              </w:rPr>
              <w:t xml:space="preserve">Jiang H (2023)</w:t>
            </w:r>
          </w:p>
        </w:tc>
        <w:tc>
          <w:tcPr>
            <w:tcW w:type="dxa" w:w="4000"/>
            <w:tcMar>
              <w:top w:type="dxa" w:w="50"/>
              <w:left w:type="dxa" w:w="60"/>
              <w:bottom w:type="dxa" w:w="50"/>
              <w:right w:type="dxa" w:w="60"/>
            </w:tcMar>
            <w:vAlign w:val="center"/>
          </w:tcPr>
          <w:p>
            <w:r>
              <w:rPr>
                <w:b w:val="false"/>
                <w:bCs w:val="false"/>
                <w:color w:val="222222"/>
                <w:sz w:val="14"/>
                <w:szCs w:val="14"/>
              </w:rPr>
              <w:t xml:space="preserve">Sci Total Environ</w:t>
            </w:r>
          </w:p>
        </w:tc>
        <w:tc>
          <w:tcPr>
            <w:tcW w:type="dxa" w:w="5198"/>
            <w:tcMar>
              <w:top w:type="dxa" w:w="50"/>
              <w:left w:type="dxa" w:w="60"/>
              <w:bottom w:type="dxa" w:w="50"/>
              <w:right w:type="dxa" w:w="60"/>
            </w:tcMar>
            <w:vAlign w:val="center"/>
          </w:tcPr>
          <w:p>
            <w:hyperlink w:history="1" r:id="rId_bdtfqgtc-tmtc9v0whzh">
              <w:r>
                <w:rPr>
                  <w:rStyle w:val="Hyperlink"/>
                  <w:sz w:val="14"/>
                  <w:szCs w:val="14"/>
                </w:rPr>
                <w:t xml:space="preserve">doi.org/10.1016/j.scitotenv.2023.162501</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110</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Sun D (2023)</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Lancet Planet Health</w:t>
            </w:r>
          </w:p>
        </w:tc>
        <w:tc>
          <w:tcPr>
            <w:tcW w:type="dxa" w:w="5198"/>
            <w:shd w:fill="EAF1F8" w:val="clear"/>
            <w:tcMar>
              <w:top w:type="dxa" w:w="50"/>
              <w:left w:type="dxa" w:w="60"/>
              <w:bottom w:type="dxa" w:w="50"/>
              <w:right w:type="dxa" w:w="60"/>
            </w:tcMar>
            <w:vAlign w:val="center"/>
          </w:tcPr>
          <w:p>
            <w:hyperlink w:history="1" r:id="rIdpcb7wqj7yfw-qqwoom1ja">
              <w:r>
                <w:rPr>
                  <w:rStyle w:val="Hyperlink"/>
                  <w:sz w:val="14"/>
                  <w:szCs w:val="14"/>
                </w:rPr>
                <w:t xml:space="preserve">doi.org/10.1016/S2542-5196(23)00047-5</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111</w:t>
            </w:r>
          </w:p>
        </w:tc>
        <w:tc>
          <w:tcPr>
            <w:tcW w:type="dxa" w:w="2300"/>
            <w:tcMar>
              <w:top w:type="dxa" w:w="50"/>
              <w:left w:type="dxa" w:w="60"/>
              <w:bottom w:type="dxa" w:w="50"/>
              <w:right w:type="dxa" w:w="60"/>
            </w:tcMar>
            <w:vAlign w:val="center"/>
          </w:tcPr>
          <w:p>
            <w:r>
              <w:rPr>
                <w:b w:val="false"/>
                <w:bCs w:val="false"/>
                <w:color w:val="222222"/>
                <w:sz w:val="14"/>
                <w:szCs w:val="14"/>
              </w:rPr>
              <w:t xml:space="preserve">Guo Q (2022)</w:t>
            </w:r>
          </w:p>
        </w:tc>
        <w:tc>
          <w:tcPr>
            <w:tcW w:type="dxa" w:w="4000"/>
            <w:tcMar>
              <w:top w:type="dxa" w:w="50"/>
              <w:left w:type="dxa" w:w="60"/>
              <w:bottom w:type="dxa" w:w="50"/>
              <w:right w:type="dxa" w:w="60"/>
            </w:tcMar>
            <w:vAlign w:val="center"/>
          </w:tcPr>
          <w:p>
            <w:r>
              <w:rPr>
                <w:b w:val="false"/>
                <w:bCs w:val="false"/>
                <w:color w:val="222222"/>
                <w:sz w:val="14"/>
                <w:szCs w:val="14"/>
              </w:rPr>
              <w:t xml:space="preserve">Sci Total Environ</w:t>
            </w:r>
          </w:p>
        </w:tc>
        <w:tc>
          <w:tcPr>
            <w:tcW w:type="dxa" w:w="5198"/>
            <w:tcMar>
              <w:top w:type="dxa" w:w="50"/>
              <w:left w:type="dxa" w:w="60"/>
              <w:bottom w:type="dxa" w:w="50"/>
              <w:right w:type="dxa" w:w="60"/>
            </w:tcMar>
            <w:vAlign w:val="center"/>
          </w:tcPr>
          <w:p>
            <w:hyperlink w:history="1" r:id="rIdtcwwzbycwqp8bba1ufdjs">
              <w:r>
                <w:rPr>
                  <w:rStyle w:val="Hyperlink"/>
                  <w:sz w:val="14"/>
                  <w:szCs w:val="14"/>
                </w:rPr>
                <w:t xml:space="preserve">doi.org/10.1016/j.scitotenv.2022.156138</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112</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Liu X (2022)</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Environ Sci Pollut Res Int</w:t>
            </w:r>
          </w:p>
        </w:tc>
        <w:tc>
          <w:tcPr>
            <w:tcW w:type="dxa" w:w="5198"/>
            <w:shd w:fill="EAF1F8" w:val="clear"/>
            <w:tcMar>
              <w:top w:type="dxa" w:w="50"/>
              <w:left w:type="dxa" w:w="60"/>
              <w:bottom w:type="dxa" w:w="50"/>
              <w:right w:type="dxa" w:w="60"/>
            </w:tcMar>
            <w:vAlign w:val="center"/>
          </w:tcPr>
          <w:p>
            <w:hyperlink w:history="1" r:id="rIdgetwygalqvzzgckgvn-jt">
              <w:r>
                <w:rPr>
                  <w:rStyle w:val="Hyperlink"/>
                  <w:sz w:val="14"/>
                  <w:szCs w:val="14"/>
                </w:rPr>
                <w:t xml:space="preserve">doi.org/10.1007/s11356-022-22076-y</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68 (incerto→mantido, PubMed)</w:t>
            </w:r>
          </w:p>
        </w:tc>
      </w:tr>
      <w:tr>
        <w:tc>
          <w:tcPr>
            <w:tcW w:type="dxa" w:w="500"/>
            <w:tcMar>
              <w:top w:type="dxa" w:w="50"/>
              <w:left w:type="dxa" w:w="60"/>
              <w:bottom w:type="dxa" w:w="50"/>
              <w:right w:type="dxa" w:w="60"/>
            </w:tcMar>
            <w:vAlign w:val="center"/>
          </w:tcPr>
          <w:p>
            <w:r>
              <w:rPr>
                <w:b w:val="false"/>
                <w:bCs w:val="false"/>
                <w:color w:val="222222"/>
                <w:sz w:val="14"/>
                <w:szCs w:val="14"/>
              </w:rPr>
              <w:t xml:space="preserve">113</w:t>
            </w:r>
          </w:p>
        </w:tc>
        <w:tc>
          <w:tcPr>
            <w:tcW w:type="dxa" w:w="2300"/>
            <w:tcMar>
              <w:top w:type="dxa" w:w="50"/>
              <w:left w:type="dxa" w:w="60"/>
              <w:bottom w:type="dxa" w:w="50"/>
              <w:right w:type="dxa" w:w="60"/>
            </w:tcMar>
            <w:vAlign w:val="center"/>
          </w:tcPr>
          <w:p>
            <w:r>
              <w:rPr>
                <w:b w:val="false"/>
                <w:bCs w:val="false"/>
                <w:color w:val="222222"/>
                <w:sz w:val="14"/>
                <w:szCs w:val="14"/>
              </w:rPr>
              <w:t xml:space="preserve">An R (2020)</w:t>
            </w:r>
          </w:p>
        </w:tc>
        <w:tc>
          <w:tcPr>
            <w:tcW w:type="dxa" w:w="4000"/>
            <w:tcMar>
              <w:top w:type="dxa" w:w="50"/>
              <w:left w:type="dxa" w:w="60"/>
              <w:bottom w:type="dxa" w:w="50"/>
              <w:right w:type="dxa" w:w="60"/>
            </w:tcMar>
            <w:vAlign w:val="center"/>
          </w:tcPr>
          <w:p>
            <w:r>
              <w:rPr>
                <w:b w:val="false"/>
                <w:bCs w:val="false"/>
                <w:color w:val="222222"/>
                <w:sz w:val="14"/>
                <w:szCs w:val="14"/>
              </w:rPr>
              <w:t xml:space="preserve">J Sport Health Sci</w:t>
            </w:r>
          </w:p>
        </w:tc>
        <w:tc>
          <w:tcPr>
            <w:tcW w:type="dxa" w:w="5198"/>
            <w:tcMar>
              <w:top w:type="dxa" w:w="50"/>
              <w:left w:type="dxa" w:w="60"/>
              <w:bottom w:type="dxa" w:w="50"/>
              <w:right w:type="dxa" w:w="60"/>
            </w:tcMar>
            <w:vAlign w:val="center"/>
          </w:tcPr>
          <w:p>
            <w:hyperlink w:history="1" r:id="rIdnyq8-u3b1rld8mmgdbkem">
              <w:r>
                <w:rPr>
                  <w:rStyle w:val="Hyperlink"/>
                  <w:sz w:val="14"/>
                  <w:szCs w:val="14"/>
                </w:rPr>
                <w:t xml:space="preserve">doi.org/10.1016/j.jshs.2020.09.008</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108 (incerto→mantido, Scopus/WoS via PubMed)</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114</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Doubleday A (2025)</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Environ Int</w:t>
            </w:r>
          </w:p>
        </w:tc>
        <w:tc>
          <w:tcPr>
            <w:tcW w:type="dxa" w:w="5198"/>
            <w:shd w:fill="EAF1F8" w:val="clear"/>
            <w:tcMar>
              <w:top w:type="dxa" w:w="50"/>
              <w:left w:type="dxa" w:w="60"/>
              <w:bottom w:type="dxa" w:w="50"/>
              <w:right w:type="dxa" w:w="60"/>
            </w:tcMar>
            <w:vAlign w:val="center"/>
          </w:tcPr>
          <w:p>
            <w:hyperlink w:history="1" r:id="rIdqxeyndf5zwfbxxxsoyo4g">
              <w:r>
                <w:rPr>
                  <w:rStyle w:val="Hyperlink"/>
                  <w:sz w:val="14"/>
                  <w:szCs w:val="14"/>
                </w:rPr>
                <w:t xml:space="preserve">doi.org/10.1016/j.envint.2025.109850</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12 (mantido por título, pendente resolvido)</w:t>
            </w:r>
          </w:p>
        </w:tc>
      </w:tr>
      <w:tr>
        <w:tc>
          <w:tcPr>
            <w:tcW w:type="dxa" w:w="500"/>
            <w:tcMar>
              <w:top w:type="dxa" w:w="50"/>
              <w:left w:type="dxa" w:w="60"/>
              <w:bottom w:type="dxa" w:w="50"/>
              <w:right w:type="dxa" w:w="60"/>
            </w:tcMar>
            <w:vAlign w:val="center"/>
          </w:tcPr>
          <w:p>
            <w:r>
              <w:rPr>
                <w:b w:val="false"/>
                <w:bCs w:val="false"/>
                <w:color w:val="222222"/>
                <w:sz w:val="14"/>
                <w:szCs w:val="14"/>
              </w:rPr>
              <w:t xml:space="preserve">115</w:t>
            </w:r>
          </w:p>
        </w:tc>
        <w:tc>
          <w:tcPr>
            <w:tcW w:type="dxa" w:w="2300"/>
            <w:tcMar>
              <w:top w:type="dxa" w:w="50"/>
              <w:left w:type="dxa" w:w="60"/>
              <w:bottom w:type="dxa" w:w="50"/>
              <w:right w:type="dxa" w:w="60"/>
            </w:tcMar>
            <w:vAlign w:val="center"/>
          </w:tcPr>
          <w:p>
            <w:r>
              <w:rPr>
                <w:b w:val="false"/>
                <w:bCs w:val="false"/>
                <w:color w:val="222222"/>
                <w:sz w:val="14"/>
                <w:szCs w:val="14"/>
              </w:rPr>
              <w:t xml:space="preserve">Josa-Culleré A (2024)</w:t>
            </w:r>
          </w:p>
        </w:tc>
        <w:tc>
          <w:tcPr>
            <w:tcW w:type="dxa" w:w="4000"/>
            <w:tcMar>
              <w:top w:type="dxa" w:w="50"/>
              <w:left w:type="dxa" w:w="60"/>
              <w:bottom w:type="dxa" w:w="50"/>
              <w:right w:type="dxa" w:w="60"/>
            </w:tcMar>
            <w:vAlign w:val="center"/>
          </w:tcPr>
          <w:p>
            <w:r>
              <w:rPr>
                <w:b w:val="false"/>
                <w:bCs w:val="false"/>
                <w:color w:val="222222"/>
                <w:sz w:val="14"/>
                <w:szCs w:val="14"/>
              </w:rPr>
              <w:t xml:space="preserve">Environ Res</w:t>
            </w:r>
          </w:p>
        </w:tc>
        <w:tc>
          <w:tcPr>
            <w:tcW w:type="dxa" w:w="5198"/>
            <w:tcMar>
              <w:top w:type="dxa" w:w="50"/>
              <w:left w:type="dxa" w:w="60"/>
              <w:bottom w:type="dxa" w:w="50"/>
              <w:right w:type="dxa" w:w="60"/>
            </w:tcMar>
            <w:vAlign w:val="center"/>
          </w:tcPr>
          <w:p>
            <w:hyperlink w:history="1" r:id="rIdhgrm626gk67_zs6q-jd4f">
              <w:r>
                <w:rPr>
                  <w:rStyle w:val="Hyperlink"/>
                  <w:sz w:val="14"/>
                  <w:szCs w:val="14"/>
                </w:rPr>
                <w:t xml:space="preserve">doi.org/10.1016/j.envres.2024.118195</w:t>
              </w:r>
            </w:hyperlink>
          </w:p>
        </w:tc>
        <w:tc>
          <w:tcPr>
            <w:tcW w:type="dxa" w:w="3500"/>
            <w:tcMar>
              <w:top w:type="dxa" w:w="50"/>
              <w:left w:type="dxa" w:w="60"/>
              <w:bottom w:type="dxa" w:w="50"/>
              <w:right w:type="dxa" w:w="60"/>
            </w:tcMar>
            <w:vAlign w:val="center"/>
          </w:tcPr>
          <w:p>
            <w:r>
              <w:rPr>
                <w:b w:val="false"/>
                <w:bCs w:val="false"/>
                <w:color w:val="222222"/>
                <w:sz w:val="14"/>
                <w:szCs w:val="14"/>
              </w:rPr>
              <w:t xml:space="preserve">Atualização — lote 12 (mantido por título, pendente resolvido)</w:t>
            </w:r>
          </w:p>
        </w:tc>
      </w:tr>
      <w:tr>
        <w:tc>
          <w:tcPr>
            <w:tcW w:type="dxa" w:w="500"/>
            <w:shd w:fill="EAF1F8" w:val="clear"/>
            <w:tcMar>
              <w:top w:type="dxa" w:w="50"/>
              <w:left w:type="dxa" w:w="60"/>
              <w:bottom w:type="dxa" w:w="50"/>
              <w:right w:type="dxa" w:w="60"/>
            </w:tcMar>
            <w:vAlign w:val="center"/>
          </w:tcPr>
          <w:p>
            <w:r>
              <w:rPr>
                <w:b w:val="false"/>
                <w:bCs w:val="false"/>
                <w:color w:val="222222"/>
                <w:sz w:val="14"/>
                <w:szCs w:val="14"/>
              </w:rPr>
              <w:t xml:space="preserve">116</w:t>
            </w:r>
          </w:p>
        </w:tc>
        <w:tc>
          <w:tcPr>
            <w:tcW w:type="dxa" w:w="2300"/>
            <w:shd w:fill="EAF1F8" w:val="clear"/>
            <w:tcMar>
              <w:top w:type="dxa" w:w="50"/>
              <w:left w:type="dxa" w:w="60"/>
              <w:bottom w:type="dxa" w:w="50"/>
              <w:right w:type="dxa" w:w="60"/>
            </w:tcMar>
            <w:vAlign w:val="center"/>
          </w:tcPr>
          <w:p>
            <w:r>
              <w:rPr>
                <w:b w:val="false"/>
                <w:bCs w:val="false"/>
                <w:color w:val="222222"/>
                <w:sz w:val="14"/>
                <w:szCs w:val="14"/>
              </w:rPr>
              <w:t xml:space="preserve">Park H (2024)</w:t>
            </w:r>
          </w:p>
        </w:tc>
        <w:tc>
          <w:tcPr>
            <w:tcW w:type="dxa" w:w="4000"/>
            <w:shd w:fill="EAF1F8" w:val="clear"/>
            <w:tcMar>
              <w:top w:type="dxa" w:w="50"/>
              <w:left w:type="dxa" w:w="60"/>
              <w:bottom w:type="dxa" w:w="50"/>
              <w:right w:type="dxa" w:w="60"/>
            </w:tcMar>
            <w:vAlign w:val="center"/>
          </w:tcPr>
          <w:p>
            <w:r>
              <w:rPr>
                <w:b w:val="false"/>
                <w:bCs w:val="false"/>
                <w:color w:val="222222"/>
                <w:sz w:val="14"/>
                <w:szCs w:val="14"/>
              </w:rPr>
              <w:t xml:space="preserve">Environ Health</w:t>
            </w:r>
          </w:p>
        </w:tc>
        <w:tc>
          <w:tcPr>
            <w:tcW w:type="dxa" w:w="5198"/>
            <w:shd w:fill="EAF1F8" w:val="clear"/>
            <w:tcMar>
              <w:top w:type="dxa" w:w="50"/>
              <w:left w:type="dxa" w:w="60"/>
              <w:bottom w:type="dxa" w:w="50"/>
              <w:right w:type="dxa" w:w="60"/>
            </w:tcMar>
            <w:vAlign w:val="center"/>
          </w:tcPr>
          <w:p>
            <w:hyperlink w:history="1" r:id="rIdkztmuehlt3qi_bucqfq1y">
              <w:r>
                <w:rPr>
                  <w:rStyle w:val="Hyperlink"/>
                  <w:sz w:val="14"/>
                  <w:szCs w:val="14"/>
                </w:rPr>
                <w:t xml:space="preserve">doi.org/10.1186/s12940-024-01125-8</w:t>
              </w:r>
            </w:hyperlink>
          </w:p>
        </w:tc>
        <w:tc>
          <w:tcPr>
            <w:tcW w:type="dxa" w:w="3500"/>
            <w:shd w:fill="EAF1F8" w:val="clear"/>
            <w:tcMar>
              <w:top w:type="dxa" w:w="50"/>
              <w:left w:type="dxa" w:w="60"/>
              <w:bottom w:type="dxa" w:w="50"/>
              <w:right w:type="dxa" w:w="60"/>
            </w:tcMar>
            <w:vAlign w:val="center"/>
          </w:tcPr>
          <w:p>
            <w:r>
              <w:rPr>
                <w:b w:val="false"/>
                <w:bCs w:val="false"/>
                <w:color w:val="222222"/>
                <w:sz w:val="14"/>
                <w:szCs w:val="14"/>
              </w:rPr>
              <w:t xml:space="preserve">Atualização — lote 12 (mantido por título, pendente resolvido)</w:t>
            </w:r>
          </w:p>
        </w:tc>
      </w:tr>
    </w:tbl>
    <w:sectPr>
      <w:headerReference w:type="default" r:id="rId6"/>
      <w:footerReference w:type="default" r:id="rId7"/>
      <w:pgSz w:w="11906" w:h="16838" w:orient="landscape"/>
      <w:pgMar w:top="620" w:right="620" w:bottom="620" w:left="6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4"/>
        <w:szCs w:val="14"/>
      </w:rPr>
      <w:t xml:space="preserve">Página </w:t>
    </w:r>
    <w:r>
      <w:rPr>
        <w:color w:val="595959"/>
        <w:sz w:val="14"/>
        <w:szCs w:val="14"/>
      </w:rPr>
      <w:fldChar w:fldCharType="begin"/>
      <w:instrText xml:space="preserve">PAGE</w:instrText>
      <w:fldChar w:fldCharType="separate"/>
      <w:fldChar w:fldCharType="end"/>
    </w:r>
    <w:r>
      <w:rPr>
        <w:color w:val="595959"/>
        <w:sz w:val="14"/>
        <w:szCs w:val="14"/>
      </w:rPr>
      <w:t xml:space="preserve"> de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4"/>
        <w:szCs w:val="14"/>
      </w:rPr>
      <w:t xml:space="preserve">LAPE — UDESC/CEFID · Relatório completo da atualização (poluição do ar, idoso, atividade física)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9uzghtu7b_mm_qmndpsb" Type="http://schemas.openxmlformats.org/officeDocument/2006/relationships/hyperlink" Target="https://doi.org/10.3390/ijerph20043506" TargetMode="External"/><Relationship Id="rId1bygy7g5ibzza5i-imvf9" Type="http://schemas.openxmlformats.org/officeDocument/2006/relationships/hyperlink" Target="https://doi.org/10.1016/j.jnha.2025.100731" TargetMode="External"/><Relationship Id="rIdgfzwptw78_csfmqmpha77" Type="http://schemas.openxmlformats.org/officeDocument/2006/relationships/hyperlink" Target="https://doi.org/10.1093/gerona/glaf291" TargetMode="External"/><Relationship Id="rId8qdhbd-ulp77roibuh9la" Type="http://schemas.openxmlformats.org/officeDocument/2006/relationships/hyperlink" Target="https://doi.org/10.1186/s12889-026-27175-w" TargetMode="External"/><Relationship Id="rIddwu8648qo3yqpbukbfh_u" Type="http://schemas.openxmlformats.org/officeDocument/2006/relationships/hyperlink" Target="https://doi.org/10.1097/MD.0000000000048831" TargetMode="External"/><Relationship Id="rId7zrs9dr7rfp971bfqaqgd" Type="http://schemas.openxmlformats.org/officeDocument/2006/relationships/hyperlink" Target="https://doi.org/10.1016/j.socscimed.2026.119520" TargetMode="External"/><Relationship Id="rIdzhcz4dlfdqc1p0rfzcvhj" Type="http://schemas.openxmlformats.org/officeDocument/2006/relationships/hyperlink" Target="https://doi.org/10.3389/fpubh.2026.1894835" TargetMode="External"/><Relationship Id="rIdwzygjhbwrf_mrfkefzuly" Type="http://schemas.openxmlformats.org/officeDocument/2006/relationships/hyperlink" Target="https://doi.org/10.1016/j.jhazmat.2024.136507" TargetMode="External"/><Relationship Id="rId2prhlwb3g-nvmeq8cwlsh" Type="http://schemas.openxmlformats.org/officeDocument/2006/relationships/hyperlink" Target="https://doi.org/10.1016/j.jamda.2025.105525" TargetMode="External"/><Relationship Id="rIdu69kbc9jduheukihu24rx" Type="http://schemas.openxmlformats.org/officeDocument/2006/relationships/hyperlink" Target="https://doi.org/10.1186/s12889-025-22050-6" TargetMode="External"/><Relationship Id="rIdubvtte7xz3frrxggosi6w" Type="http://schemas.openxmlformats.org/officeDocument/2006/relationships/hyperlink" Target="https://doi.org/10.1038/s41598-025-98711-8" TargetMode="External"/><Relationship Id="rIdh2ze2nwoxjhdtuoumeurg" Type="http://schemas.openxmlformats.org/officeDocument/2006/relationships/hyperlink" Target="https://doi.org/10.1016/j.lanwpc.2025.101584" TargetMode="External"/><Relationship Id="rId3xtjen00hyh-gtcmuxocg" Type="http://schemas.openxmlformats.org/officeDocument/2006/relationships/hyperlink" Target="https://doi.org/10.3389/fpubh.2025.1595748" TargetMode="External"/><Relationship Id="rIdrwlmlvq2-44xgydttd_ow" Type="http://schemas.openxmlformats.org/officeDocument/2006/relationships/hyperlink" Target="https://doi.org/10.1136/bmjsem-2024-002358" TargetMode="External"/><Relationship Id="rIdi-xc_ijgycrxxkyyltkhg" Type="http://schemas.openxmlformats.org/officeDocument/2006/relationships/hyperlink" Target="https://doi.org/10.1123/jpah.2024-0756" TargetMode="External"/><Relationship Id="rIdgsx-lefffy6fktuayqcyc" Type="http://schemas.openxmlformats.org/officeDocument/2006/relationships/hyperlink" Target="https://doi.org/10.1016/j.envpol.2025.127028" TargetMode="External"/><Relationship Id="rIdwnol_wiyghulwq8qg4qvq" Type="http://schemas.openxmlformats.org/officeDocument/2006/relationships/hyperlink" Target="https://doi.org/10.1038/s41598-025-25347-z" TargetMode="External"/><Relationship Id="rIdgt2kjfdryyzyaz18pia5p" Type="http://schemas.openxmlformats.org/officeDocument/2006/relationships/hyperlink" Target="https://doi.org/10.1038/s41598-025-28614-1" TargetMode="External"/><Relationship Id="rIdo-yohaxpluovjugwmppe4" Type="http://schemas.openxmlformats.org/officeDocument/2006/relationships/hyperlink" Target="https://doi.org/10.1186/s12889-025-25378-1" TargetMode="External"/><Relationship Id="rId6snhla0944jpagwanxlqg" Type="http://schemas.openxmlformats.org/officeDocument/2006/relationships/hyperlink" Target="https://doi.org/10.1016/j.jad.2024.01.036" TargetMode="External"/><Relationship Id="rId2dr5eeov0gc_shhcgysj3" Type="http://schemas.openxmlformats.org/officeDocument/2006/relationships/hyperlink" Target="https://doi.org/10.1186/s12889-024-18279-2" TargetMode="External"/><Relationship Id="rIdw0v7ucocn38puo2epwffh" Type="http://schemas.openxmlformats.org/officeDocument/2006/relationships/hyperlink" Target="https://doi.org/10.3349/ymj.2023.0292" TargetMode="External"/><Relationship Id="rIdaffm2n5gptp4rqszx_y4x" Type="http://schemas.openxmlformats.org/officeDocument/2006/relationships/hyperlink" Target="https://doi.org/10.1016/j.jad.2024.07.108" TargetMode="External"/><Relationship Id="rIdw3lbdaen4d1vlnczbez5h" Type="http://schemas.openxmlformats.org/officeDocument/2006/relationships/hyperlink" Target="https://doi.org/10.3390/ijerph20032352" TargetMode="External"/><Relationship Id="rIdqbqrhlaanwom5qejkjk0k" Type="http://schemas.openxmlformats.org/officeDocument/2006/relationships/hyperlink" Target="https://doi.org/10.1016/j.exger.2023.112148" TargetMode="External"/><Relationship Id="rIdnolyprf_dfk37ia2y6-jf" Type="http://schemas.openxmlformats.org/officeDocument/2006/relationships/hyperlink" Target="https://doi.org/10.3389/fpubh.2023.1137118" TargetMode="External"/><Relationship Id="rIdxvkyoh6gbwec9loyqhpjr" Type="http://schemas.openxmlformats.org/officeDocument/2006/relationships/hyperlink" Target="https://doi.org/10.1016/j.mayocp.2023.04.017" TargetMode="External"/><Relationship Id="rId6qrpg0aufwbzhwsc1d90q" Type="http://schemas.openxmlformats.org/officeDocument/2006/relationships/hyperlink" Target="https://doi.org/10.1016/j.jad.2021.12.009" TargetMode="External"/><Relationship Id="rIdj1mcp7m2cf1p1v0vyegq2" Type="http://schemas.openxmlformats.org/officeDocument/2006/relationships/hyperlink" Target="https://doi.org/10.1186/s12877-022-03139-8" TargetMode="External"/><Relationship Id="rIdjlgxg1xedq3z7irp-ytnj" Type="http://schemas.openxmlformats.org/officeDocument/2006/relationships/hyperlink" Target="https://doi.org/10.1007/s00484-025-03122-z" TargetMode="External"/><Relationship Id="rIdxfvmcqvx1jpmkvjcwnicn" Type="http://schemas.openxmlformats.org/officeDocument/2006/relationships/hyperlink" Target="https://doi.org/10.2337/dc25-2497" TargetMode="External"/><Relationship Id="rIdulax1fui6m5dj_bsrkbkt" Type="http://schemas.openxmlformats.org/officeDocument/2006/relationships/hyperlink" Target="https://doi.org/10.1186/s12889-026-27950-9" TargetMode="External"/><Relationship Id="rIdhoddguwfwd7e5vemn8pqd" Type="http://schemas.openxmlformats.org/officeDocument/2006/relationships/hyperlink" Target="https://doi.org/10.3760/cma.j.cn112338-20251220-00911" TargetMode="External"/><Relationship Id="rIdlj0jp1vu1b46bijfhgz9f" Type="http://schemas.openxmlformats.org/officeDocument/2006/relationships/hyperlink" Target="https://doi.org/10.1093/gerona/glae302" TargetMode="External"/><Relationship Id="rId3vdndru8t2xys5uhjwsb5" Type="http://schemas.openxmlformats.org/officeDocument/2006/relationships/hyperlink" Target="https://doi.org/10.1016/j.ijheh.2025.114521" TargetMode="External"/><Relationship Id="rId7xptqjauxx1vu3qa6nsqg" Type="http://schemas.openxmlformats.org/officeDocument/2006/relationships/hyperlink" Target="https://doi.org/10.1038/s41598-025-00160-w" TargetMode="External"/><Relationship Id="rIdhoog7b6kzpbtwranhwnlb" Type="http://schemas.openxmlformats.org/officeDocument/2006/relationships/hyperlink" Target="https://doi.org/10.1186/s12889-025-23211-3" TargetMode="External"/><Relationship Id="rIdyjibtnegtk2ghzcyiojhh" Type="http://schemas.openxmlformats.org/officeDocument/2006/relationships/hyperlink" Target="https://doi.org/10.1265/ehpm.24-00357" TargetMode="External"/><Relationship Id="rIdejrnu5_bttis6t-bac_0i" Type="http://schemas.openxmlformats.org/officeDocument/2006/relationships/hyperlink" Target="https://doi.org/10.1038/s41598-025-15114-5" TargetMode="External"/><Relationship Id="rIdzuibpfbwhdofkhnkzovtm" Type="http://schemas.openxmlformats.org/officeDocument/2006/relationships/hyperlink" Target="https://doi.org/10.1093/gerona/glaf171" TargetMode="External"/><Relationship Id="rIdkjrcc2izos-3ocrfc-bnh" Type="http://schemas.openxmlformats.org/officeDocument/2006/relationships/hyperlink" Target="https://doi.org/10.1265/ehpm.24-00280" TargetMode="External"/><Relationship Id="rId1ylamp2rxfs7pbcpvfvl-" Type="http://schemas.openxmlformats.org/officeDocument/2006/relationships/hyperlink" Target="https://doi.org/10.1186/s12889-025-24837-z" TargetMode="External"/><Relationship Id="rId4ddskvtlfqonjgs26ijxp" Type="http://schemas.openxmlformats.org/officeDocument/2006/relationships/hyperlink" Target="https://doi.org/10.1111/ctr.70376" TargetMode="External"/><Relationship Id="rIdvrmlaxpp4tkuyecqxafzw" Type="http://schemas.openxmlformats.org/officeDocument/2006/relationships/hyperlink" Target="https://doi.org/10.1016/j.envpol.2024.123540" TargetMode="External"/><Relationship Id="rId3pk38rviujz8jdghjceyp" Type="http://schemas.openxmlformats.org/officeDocument/2006/relationships/hyperlink" Target="https://doi.org/10.1186/s12916-024-03316-z" TargetMode="External"/><Relationship Id="rIdnr5zqexdejw2s-s1pvwqj" Type="http://schemas.openxmlformats.org/officeDocument/2006/relationships/hyperlink" Target="https://doi.org/10.1016/j.envint.2024.108637" TargetMode="External"/><Relationship Id="rIdg-ayxpvodubckawbaxdhg" Type="http://schemas.openxmlformats.org/officeDocument/2006/relationships/hyperlink" Target="https://doi.org/10.1186/s12889-024-18834-x" TargetMode="External"/><Relationship Id="rId19unmxsiguvurl_4a7-g6" Type="http://schemas.openxmlformats.org/officeDocument/2006/relationships/hyperlink" Target="https://doi.org/10.1016/j.envint.2024.108870" TargetMode="External"/><Relationship Id="rIdexkah3pezmc24sw1ivk_e" Type="http://schemas.openxmlformats.org/officeDocument/2006/relationships/hyperlink" Target="https://doi.org/10.1016/j.ecoenv.2024.117140" TargetMode="External"/><Relationship Id="rIdepbqh1_9ql_s0hitrd0tq" Type="http://schemas.openxmlformats.org/officeDocument/2006/relationships/hyperlink" Target="https://doi.org/10.1016/j.ecoenv.2022.114423" TargetMode="External"/><Relationship Id="rIdgrmefgwifpcwaxwiyfqvs" Type="http://schemas.openxmlformats.org/officeDocument/2006/relationships/hyperlink" Target="https://doi.org/10.1016/j.envint.2023.107803" TargetMode="External"/><Relationship Id="rId_bdtfqgtc-tmtc9v0whzh" Type="http://schemas.openxmlformats.org/officeDocument/2006/relationships/hyperlink" Target="https://doi.org/10.1016/j.scitotenv.2023.162501" TargetMode="External"/><Relationship Id="rIdpcb7wqj7yfw-qqwoom1ja" Type="http://schemas.openxmlformats.org/officeDocument/2006/relationships/hyperlink" Target="https://doi.org/10.1016/S2542-5196(23)00047-5" TargetMode="External"/><Relationship Id="rIdtcwwzbycwqp8bba1ufdjs" Type="http://schemas.openxmlformats.org/officeDocument/2006/relationships/hyperlink" Target="https://doi.org/10.1016/j.scitotenv.2022.156138" TargetMode="External"/><Relationship Id="rIdgetwygalqvzzgckgvn-jt" Type="http://schemas.openxmlformats.org/officeDocument/2006/relationships/hyperlink" Target="https://doi.org/10.1007/s11356-022-22076-y" TargetMode="External"/><Relationship Id="rIdnyq8-u3b1rld8mmgdbkem" Type="http://schemas.openxmlformats.org/officeDocument/2006/relationships/hyperlink" Target="https://doi.org/10.1016/j.jshs.2020.09.008" TargetMode="External"/><Relationship Id="rIdqxeyndf5zwfbxxxsoyo4g" Type="http://schemas.openxmlformats.org/officeDocument/2006/relationships/hyperlink" Target="https://doi.org/10.1016/j.envint.2025.109850" TargetMode="External"/><Relationship Id="rIdhgrm626gk67_zs6q-jd4f" Type="http://schemas.openxmlformats.org/officeDocument/2006/relationships/hyperlink" Target="https://doi.org/10.1016/j.envres.2024.118195" TargetMode="External"/><Relationship Id="rIdkztmuehlt3qi_bucqfq1y" Type="http://schemas.openxmlformats.org/officeDocument/2006/relationships/hyperlink" Target="https://doi.org/10.1186/s12940-024-01125-8" TargetMode="External"/><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2026-09-29T17:32:39.787Z</dcterms:created>
  <dcterms:modified xsi:type="dcterms:W3CDTF">2026-09-29T17:32:39.801Z</dcterms:modified>
</cp:coreProperties>
</file>

<file path=docProps/custom.xml><?xml version="1.0" encoding="utf-8"?>
<Properties xmlns="http://schemas.openxmlformats.org/officeDocument/2006/custom-properties" xmlns:vt="http://schemas.openxmlformats.org/officeDocument/2006/docPropsVTypes"/>
</file>