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6"/>
        </w:rPr>
        <w:t>PERFIL DE HUMOR DE ATLETAS DE HANDEBOL DE ELITE NA ÚLTIMA SEMANA DE PRÉ-TEMPORADA: MONITORAMENTO DAS SEIS DIMENSÕES DO BRUMS E A APTIDÃO INTERMITENTE COMO COVARIÁVEL</w:t>
      </w:r>
    </w:p>
    <w:p>
      <w:pPr>
        <w:spacing w:before="40" w:after="80" w:line="360" w:lineRule="auto"/>
      </w:pPr>
      <w:r>
        <w:rPr>
          <w:b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Objetivo: </w:t>
      </w:r>
      <w:r>
        <w:rPr>
          <w:b w:val="0"/>
          <w:sz w:val="24"/>
        </w:rPr>
        <w:t xml:space="preserve">avaliar o perfil de humor de handebolistas de elite na última semana de pré-temporada, do grupo ao atleta, tendo a aptidão aeróbia intermitente (pico de velocidade do T-CAR) como covariável fisiológica. </w:t>
      </w:r>
      <w:r>
        <w:rPr>
          <w:b/>
          <w:sz w:val="24"/>
        </w:rPr>
        <w:t xml:space="preserve">Método: </w:t>
      </w:r>
      <w:r>
        <w:rPr>
          <w:b w:val="0"/>
          <w:sz w:val="24"/>
        </w:rPr>
        <w:t xml:space="preserve">27 atletas do sexo masculino responderam ao BRUMS-24 duas vezes ao dia por sete dias (456 observações). Os escores foram convertidos em escores T e as comparações intra-grupo (Dia 1 vs. Dia 7; pré vs. pós) testadas por MANOVA de medidas repetidas, com correlação de Spearman, classificação nos seis perfis de humor, Índice de Mudança Confiável (RCI) individual e associação com o pico de velocidade, a sonolência (Epworth) e a carga de HIIT. </w:t>
      </w:r>
      <w:r>
        <w:rPr>
          <w:b/>
          <w:sz w:val="24"/>
        </w:rPr>
        <w:t xml:space="preserve">Resultados: </w:t>
      </w:r>
      <w:r>
        <w:rPr>
          <w:b w:val="0"/>
          <w:sz w:val="24"/>
        </w:rPr>
        <w:t xml:space="preserve">a deterioração concentrou-se no eixo energia–fadiga (Wilks λ = 0,283; p = 0,002; η²ₚ = 0,72), com vigor (d = -0,95) e fadiga (d = +0,72); o perfil iceberg caiu e o de fadiga subiu (χ² = 14,58; p = 0,012). No nível individual, a fadiga foi a única dimensão a piorar de forma confiável na maioria (52%). Maior aptidão intermitente associou-se a mais vigor (ρ = +0,48) e menos fadiga (ρ = -0,54); a sonolência acompanhou a fadiga (ρ = +0,50) e os dias de HIIT concentraram pior humor. </w:t>
      </w:r>
      <w:r>
        <w:rPr>
          <w:b/>
          <w:sz w:val="24"/>
        </w:rPr>
        <w:t xml:space="preserve">Conclusão: </w:t>
      </w:r>
      <w:r>
        <w:rPr>
          <w:b w:val="0"/>
          <w:sz w:val="24"/>
        </w:rPr>
        <w:t>o humor migra da prontidão para a fadiga funcional; o vigor e a fadiga são as dimensões mais sensíveis, e a aptidão intermitente e o sono modulam a resposta, fundamentando um monitoramento individualizado.</w:t>
      </w:r>
    </w:p>
    <w:p>
      <w:pPr>
        <w:spacing w:line="360" w:lineRule="auto" w:after="160"/>
        <w:jc w:val="both"/>
      </w:pPr>
      <w:r>
        <w:rPr>
          <w:b w:val="0"/>
          <w:sz w:val="22"/>
        </w:rPr>
        <w:t>Palavras-chave: humor; BRUMS; handebol; monitoramento do atleta; aptidão intermitente; fadiga.</w:t>
      </w:r>
    </w:p>
    <w:p>
      <w:pPr>
        <w:spacing w:line="360" w:lineRule="auto" w:after="160"/>
        <w:jc w:val="both"/>
      </w:pPr>
      <w:r>
        <w:rPr>
          <w:b w:val="0"/>
          <w:sz w:val="20"/>
        </w:rPr>
        <w:t>Nota: análises complementares (pós-teste, ajuste alométrico, derivadas, decomposição sinal–ruído e figuras detalhadas) constam no Material Suplementar.</w:t>
      </w:r>
    </w:p>
    <w:p>
      <w:pPr>
        <w:spacing w:before="200" w:after="80" w:line="360" w:lineRule="auto"/>
      </w:pPr>
      <w:r>
        <w:rPr>
          <w:b/>
          <w:sz w:val="24"/>
        </w:rPr>
        <w:t>1 INTRODUÇÃO</w:t>
      </w:r>
    </w:p>
    <w:p>
      <w:pPr>
        <w:spacing w:before="120" w:after="80" w:line="360" w:lineRule="auto"/>
      </w:pPr>
      <w:r>
        <w:rPr>
          <w:b/>
          <w:sz w:val="24"/>
        </w:rPr>
        <w:t>1.1 Monitoramento do humor e handebol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organizações esportivas de elite utilizam rotineiramente indicadores psicológicos para rastrear o bem-estar e a prontidão, e avaliações regulares do humor têm utilidade preditiva para o bem-estar e o desempenho (SAW; MAIN; GASTIN, 2016; ROHLFS et al., 2023). A Brunel Mood Scale (BRUMS), derivada do POMS, mensura seis dimensões (tensão, depressão, raiva, vigor, fadiga e confusão) e é amplamente validada, inclusive no Brasil (TERRY; LANE; FOGARTY, 2003; ROHLFS et al., 2008, 2023). O handebol é uma modalidade coletiva intermitente e de alta intensidade, cujo microciclo pré-competitivo concentra a carga que antecede a competição (KARCHER; BUCHHEIT, 2014; MICHALSIK; MADSEN; AAGAARD, 2013).</w:t>
      </w:r>
    </w:p>
    <w:p>
      <w:pPr>
        <w:spacing w:before="120" w:after="80" w:line="360" w:lineRule="auto"/>
      </w:pPr>
      <w:r>
        <w:rPr>
          <w:b/>
          <w:sz w:val="24"/>
        </w:rPr>
        <w:t>1.2 Perfis de humor, aptidão intermitente e lacuna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Além dos escores isolados, seis perfis prototípicos de humor (iceberg, Everest invertido, iceberg invertido, submerso, barbatana de tubarão e superfície) são amplamente empregados no rastreamento da prontidão (MORGAN, 1985; PARSONS-SMITH; TERRY; MACHIN, 2017; HAN; PARSONS-SMITH; TERRY, 2020). A tolerância à carga intermitente depende da aptidão aeróbia intermitente, cujo marcador de campo — o pico de velocidade do Teste de Carminatti (T-CAR) — associa-se ao desempenho físico em modalidades intermitentes (FERNANDES-DA-SILVA et al., 2016). Faltam, contudo, descrições detalhadas do comportamento do humor em um microciclo de handebol de elite, do grupo ao atleta, e de como a aptidão física modula essa resposta.</w:t>
      </w:r>
    </w:p>
    <w:p>
      <w:pPr>
        <w:spacing w:before="120" w:after="80" w:line="360" w:lineRule="auto"/>
      </w:pPr>
      <w:r>
        <w:rPr>
          <w:b/>
          <w:sz w:val="24"/>
        </w:rPr>
        <w:t>1.3 Objetivos e hipóteses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objetivo foi avaliar o perfil de humor de handebolistas de elite na última semana de pré-temporada, do grupo ao atleta, tendo a aptidão aeróbia intermitente como covariável. Hipóteses: (H1) a deterioração concentra-se no eixo energia–fadiga; (H2) o perfil migra do iceberg para o de fadiga; (H3) o afeto negativo acopla-se à fadiga sob carga acumulada; e (H4) a resposta é heterogênea e modulada pela aptidão e pelo sono.</w:t>
      </w:r>
    </w:p>
    <w:p>
      <w:pPr>
        <w:spacing w:before="200" w:after="80" w:line="360" w:lineRule="auto"/>
      </w:pPr>
      <w:r>
        <w:rPr>
          <w:b/>
          <w:sz w:val="24"/>
        </w:rPr>
        <w:t>2 MATERIAIS E MÉTODOS</w:t>
      </w:r>
    </w:p>
    <w:p>
      <w:pPr>
        <w:spacing w:before="120" w:after="80" w:line="360" w:lineRule="auto"/>
      </w:pPr>
      <w:r>
        <w:rPr>
          <w:b/>
          <w:sz w:val="24"/>
        </w:rPr>
        <w:t>2.1 Participantes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Participaram 27 atletas de handebol do sexo masculino de nível competitivo (idade 22,0 ± 3,8 anos; estatura 182,5 ± 6,5 cm; massa 85,8 ± 15,7 kg), avaliados em condições ecológicas durante o microciclo pré-competitivo (21–27 de abril de 2024), conforme a Declaração de Helsinque, com consentimento informado. A distribuição por posição consta na Tabela 1 e a antropometria na Tabela 2.</w:t>
      </w:r>
    </w:p>
    <w:p>
      <w:pPr>
        <w:spacing w:before="160" w:after="40"/>
      </w:pPr>
      <w:r>
        <w:rPr>
          <w:sz w:val="22"/>
        </w:rPr>
        <w:t>Tabela 1 – Distribuição demográfica da amostra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Fonte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Grupo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Sexo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Masculino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Posição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Armador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40,7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33,3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14,8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11,1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Todos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2 – Caracterização antropométrica e de experiência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IC95%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Idade (anos)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20,5–23,5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17,0–38,0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Estatura (cm)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179,8–185,2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170,8–200,0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Massa corporal (kg)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85,8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79,3–92,3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58,8–132,6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Percentual de gordura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9,4–13,8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5,0–25,0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Experiência (anos)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9,0–12,0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6,0–23,0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2.2 Medida do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humor foi avaliado pela BRUMS-24 (seis subescalas de 0 a 16), autoaplicada duas vezes ao dia (pré e pós-treino) por sete dias. A Perturbação Total do Humor (PTH) resume o perfil (soma das negativas − vigor). Para a classificação de perfis, os escores foram convertidos em escores T (M = 50; DP = 10).</w:t>
      </w:r>
    </w:p>
    <w:p>
      <w:pPr>
        <w:spacing w:before="120" w:after="80" w:line="360" w:lineRule="auto"/>
      </w:pPr>
      <w:r>
        <w:rPr>
          <w:b/>
          <w:sz w:val="24"/>
        </w:rPr>
        <w:t>2.3 Aptidão intermitente (T-CAR) — covariável fisiológica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aptidão aeróbia intermitente foi avaliada pelo Teste de Carminatti (T-CAR), teste de campo progressivo e intermitente (12 s de corrida em vaivém por 6 s de recuperação, com incrementos até a exaustão), tendo o pico de velocidade (PV) como desfecho (FERNANDES-DA-SILVA et al., 2016). O T-CAR foi aplicado em 15 de abril de 2024, quatro dias de treino antes do início do microciclo monitorado (21–27 de abril de 2024), de modo a funcionar como parâmetro fisiológico (covariável) de linha de base. A caracterização completa do desempenho no teste consta na Tabela 3; o PV inicial (T-CAR1) foi a referência das análises.</w:t>
      </w:r>
    </w:p>
    <w:p>
      <w:pPr>
        <w:spacing w:before="160" w:after="40"/>
      </w:pPr>
      <w:r>
        <w:rPr>
          <w:sz w:val="22"/>
        </w:rPr>
        <w:t>Tabela 3 – Estatística descritiva do desempenho no Teste de Carminatti (T-CAR), covariável fisiológica.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Parâmetro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T-CAR1 – pico de velocidade (km/h)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13,2–17,5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T-CAR2 – pico de velocidade (km/h)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13,8–18,7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ΔPV – ganho na pré-temporada (km/h)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-1,4–1,8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Distância percorrida (m)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3329,3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758,9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2070,0–5360,7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Repetições completadas (n)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62,3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45,0–86,0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máxima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198,5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190,0–209,0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de pico no teste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182,5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174,0–191,3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média no teste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178,7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168,9–186,8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Recuperação da FC em 1 min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27,2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19,7–37,3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Impulso de treino – TRIMP (u.a.)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111,8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100,2–121,8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Percepção subjetiva de esforço (0–10)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5,1–8,4</w:t>
            </w:r>
          </w:p>
        </w:tc>
      </w:tr>
    </w:tbl>
    <w:p>
      <w:pPr>
        <w:spacing w:after="0"/>
      </w:pPr>
      <w:r>
        <w:rPr>
          <w:i/>
          <w:sz w:val="17"/>
        </w:rPr>
        <w:t>PV = pico de velocidade; FC = frequência cardíaca; TRIMP = training impulse. T-CAR1 (linha de base) e T-CAR2 (final).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2.4 Procedimentos e análise de dados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Registraram-se ainda a sonolência (Epworth; JOHNS, 1991), o estresse percebido (PSS; COHEN; KAMARCK; MERMELSTEIN, 1983) e as sessões de HIIT (Dias 2, 4 e 7). A normalidade foi verificada por Shapiro-Wilk; como todas as dimensões violaram a normalidade (p &lt; 0,001), com efeito de piso nas negativas, os dados não foram transformados (NEVILL; LANE, 2007) e adotaram-se procedimentos não paramétricos. Reportou-se descritiva, confiabilidade (alfa de Cronbach), coeficiente de variação e correlação de Spearman. As comparações intra-grupo (Dia 1 vs. Dia 7; pré vs. pós) usaram MANOVA de medidas repetidas em escores T (Wilks λ, F, η²ₚ) com testes univariados e magnitude por d de Cohen (0,20; 0,50; 0,80) e η²ₚ (0,01; 0,06; 0,14). No sujeito, calculou-se o RCI (JACOBSON; TRUAX, 1991). A relação do pico de velocidade com o humor foi analisada por regressão (β, R², ρ), tercis (Kruskal-Wallis) e limiar de Youden (AUC). Análises complementares (pós-teste do modelo misto, ajuste alométrico, derivadas e decomposição sinal–ruído) constam no Material Suplementar. Adotou-se α = 0,05 (Python: pandas, SciPy, statsmodels).</w:t>
      </w:r>
    </w:p>
    <w:p>
      <w:pPr>
        <w:spacing w:before="200" w:after="80" w:line="360" w:lineRule="auto"/>
      </w:pPr>
      <w:r>
        <w:rPr>
          <w:b/>
          <w:sz w:val="24"/>
        </w:rPr>
        <w:t>3 RESULTADOS</w:t>
      </w:r>
    </w:p>
    <w:p>
      <w:pPr>
        <w:spacing w:before="120" w:after="80" w:line="360" w:lineRule="auto"/>
      </w:pPr>
      <w:r>
        <w:rPr>
          <w:b/>
          <w:sz w:val="24"/>
        </w:rPr>
        <w:t>3.1 Análise descritiva exploratória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Todas as dimensões violaram a normalidade (Shapiro-Wilk p &lt; 0,001), com as negativas no piso; a consistência das medidas repetidas (ICC) foi moderada a boa (ICC(2,k) ≥ 0,81). A descritiva, a confiabilidade e as intercorrelações constam na Tabela 4: o vigor e a fadiga concentram a variabilidade informativa, enquanto as negativas têm medianas baixas; a fadiga associa-se à depressão e à raiva, e o vigor mantém-se relativamente independente do polo negativo (distribuições e diagramas no Material Suplementar).</w:t>
      </w:r>
    </w:p>
    <w:p>
      <w:pPr>
        <w:spacing w:before="160" w:after="40"/>
      </w:pPr>
      <w:r>
        <w:rPr>
          <w:sz w:val="22"/>
        </w:rPr>
        <w:t>Tabela 4 – Descritivas, confiabilidade (α) e intercorrelações (ρ) das seis dimensões do BRUMS (456 observações).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Dimensão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DP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Amplitude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Escore T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α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6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1 Vigor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5,70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3,12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32–80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-0,42*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-0,27*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-0,20*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-0,11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2 Fadiga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5,64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3,89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35–77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+0,42*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+0,33*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+0,14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3 Tensão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1,39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42–86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+0,25*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+0,16*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+0,31*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4 Depressão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1,00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2,31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46–115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+0,47*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+0,47*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5 Raiva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2,73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44–99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+0,26*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6 Confusão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46–122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</w:tbl>
    <w:p>
      <w:pPr>
        <w:spacing w:after="0"/>
      </w:pPr>
      <w:r>
        <w:rPr>
          <w:i/>
          <w:sz w:val="17"/>
        </w:rPr>
        <w:t>* p &lt; 0,001 (Spearman). Escore T referenciado à amostra (M = 50; DP = 10).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3.2 Comparações intra-grupo e sensibilidade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20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d1d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2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Perfil de humor em escores T (M = 50; DP = 10)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No Dia 1 o grupo apresenta assinatura iceberg (vigor T = 56,2; fadiga T = 46,4), invertendo-se no Dia 7 (Figura 1). A MANOVA foi multivariadamente significativa (Wilks λ = 0,283; F(6,15) = 6,32; p = 0,002; η²ₚ = 0,72), com efeito no vigor (η²ₚ = 0,49; d = -0,95) e na fadiga (η²ₚ = 0,35; d = +0,72) (Tabela 5). O vigor e a fadiga foram as dimensões mais sensíveis à variação semanal (|dz| = 0,95 e 0,72), com diferença entre os sete dias (Friedman p &lt; 0,05); a resposta aguda pré → pós reproduziu o padrão (Wilks λ = 0,423; p = 0,003; detalhes no Material Suplementar). A trajetória semanal está na Figura 2.</w:t>
      </w:r>
    </w:p>
    <w:p>
      <w:pPr>
        <w:spacing w:before="160" w:after="40"/>
      </w:pPr>
      <w:r>
        <w:rPr>
          <w:sz w:val="22"/>
        </w:rPr>
        <w:t>Tabela 5 – Comparação Dia 1 → Dia 7 das seis dimensões em escores T (MANOVA de medidas repetidas; 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0,014*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0,267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0,640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0,011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0,920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0,001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56,2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19,15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0,489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10,98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0,354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55,4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4,38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0,049*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0,179</w:t>
            </w:r>
          </w:p>
        </w:tc>
      </w:tr>
    </w:tbl>
    <w:p>
      <w:pPr>
        <w:spacing w:after="0"/>
      </w:pPr>
      <w:r>
        <w:rPr>
          <w:i/>
          <w:sz w:val="17"/>
        </w:rPr>
        <w:t>Wilks λ = 0,283; F(6,15) = 6,32; p = 0,002; η²ₚ = 0,72. * p &lt; 0,05.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7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all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 – Comportamento conjunto das sete variáveis ao longo da semana (escores padronizados z).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3.3 Correlação nos dias de maior vigor e de maior 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acoplamento do afeto negativo à fadiga depende da carga (Tabela 6): no dia de maior vigor (Dia 1) a depressão é independente da fadiga (ρ = +0,20; p = 0,306), mas no dia de maior fadiga (Dia 7) torna-se forte (ρ = +0,75; p = &lt; 0,001), o mesmo ocorrendo com a raiva — confirmando a H3.</w:t>
      </w:r>
    </w:p>
    <w:p>
      <w:pPr>
        <w:spacing w:before="160" w:after="40"/>
      </w:pPr>
      <w:r>
        <w:rPr>
          <w:sz w:val="22"/>
        </w:rPr>
        <w:t>Tabela 6 – Correlação (ρ; p) das dimensões negativas com a fadiga no dia de maior vigor (D1) e no de maior fadiga (D7).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 × Fadiga D1 (p)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 × Fadiga D7 (p)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+0,20 (0,306)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+0,75 (&lt; 0,001)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+0,14 (0,498)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+0,64 (0,002)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-0,04 (0,849)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+0,37 (0,096)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+0,43 (0,026)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-0,09 (0,708)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3.4 Prevalência dos perfis de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distribuição dos perfis mudou entre os dias extremos (χ² = 14,58; gl = 5; p = 0,012; Figura 3; Tabela 7): o iceberg caiu de 40% para 17% e a barbatana de tubarão subiu para 28%, sem instalação relevante de perfis de risco extremo.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535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e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3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3 – Prevalência (%) dos seis perfis de humor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7 – Prevalência dos perfis de humor por recorte: n (%%) no Dia 1, na semana e no Dia 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Perfil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1 n (%)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Semana n (%)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7 n (%)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 (40,5)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144 (31,6)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 (17,4)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 (14,3)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42 (9,2)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(8,7)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(9,5)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39 (8,6)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(6,5)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(7,1)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47 (10,3)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(10,9)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de tubarão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(2,4)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42 (9,2)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(28,3)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 (26,2)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142 (31,1)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(28,3)</w:t>
            </w:r>
          </w:p>
        </w:tc>
      </w:tr>
    </w:tbl>
    <w:p>
      <w:pPr>
        <w:spacing w:after="0"/>
      </w:pPr>
      <w:r>
        <w:rPr>
          <w:i/>
          <w:sz w:val="17"/>
        </w:rPr>
        <w:t>Qui-quadrado Dia 1 × Dia 7: χ² = 14,58; gl = 5; p = 0,012.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3.5 Análise no nível do atleta (mudança confiável)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mudança confiável (RCI, Dia 1 → Dia 7) foi desigual entre as dimensões (Tabela 8; Figura 4): a fadiga é a única em que a maioria deteriora de forma confiável (11 de 21; 52%), seguida do vigor (24%); as negativas não pioram. O iceberg era o perfil de 13 dos 21 atletas na linha de base e a barbatana de tubarão passou a ser o de 6 no último dia (trajetórias e transições individuais no Material Suplementar).</w:t>
      </w:r>
    </w:p>
    <w:p>
      <w:pPr>
        <w:spacing w:before="160" w:after="40"/>
      </w:pPr>
      <w:r>
        <w:rPr>
          <w:sz w:val="22"/>
        </w:rPr>
        <w:t>Tabela 8 – Mudança confiável individual (RCI, Dia 1 → Dia 7) por dimensão (n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α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Piora confiável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Estável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Melhora confiável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(24%)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 (76%)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 (52%)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 (43%)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(5%)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 (71%)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(19%)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(62%)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(19%)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 (90%)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 (10%)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 (86%)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rci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4 – Proporção de atletas com mudança confiável (RCI) por dimensão, do Dia 1 ao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3.6 Aptidão intermitente, sono e carga de HIIT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Atletas com maior pico de velocidade (T-CAR1) reportaram mais vigor (ρ = +0,48; p = 0,015) e menos fadiga física (ρ = -0,54; R² = 0,22; p = 0,005) ao longo da semana (Tabela 9; Figura 5); a fadiga diferiu entre tercis de aptidão (Kruskal-Wallis p = 0,025) e um limiar de PV ≈ 14,9 km/h discriminou os dias de maior fadiga (AUC = 0,69). A sonolência (14 de 27 atletas com Epworth &gt; 10) associou-se à fadiga (ρ = +0,50; p = 0,007), enquanto o estresse percebido não (p &gt; 0,05). Os dias de HIIT apresentaram pior humor (vigor dz = -0,73; fadiga dz = +0,65; p &lt; 0,05), embora a resposta aguda pré → pós não fosse maior nesses dias (Material Suplementar).</w:t>
      </w:r>
    </w:p>
    <w:p>
      <w:pPr>
        <w:spacing w:before="160" w:after="40"/>
      </w:pPr>
      <w:r>
        <w:rPr>
          <w:sz w:val="22"/>
        </w:rPr>
        <w:t>Tabela 9 – Regressão do pico de velocidade do T-CAR1 sobre as médias semanais de humor e fadiga (n = 25 atletas).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Desfecho semanal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β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R²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(BRUMS)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+0,95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(BRUMS)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-0,98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0,055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-1,71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0,181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-0,54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6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7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5 – Dispersão e reta de regressão entre o pico de velocidade do T-CAR1 e as médias semanais de vigor, fadiga (BRUMS), PTH e fadiga física (faixa = IC95%).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 DISCUSSÃO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deterioração do humor concentrou-se no eixo energia–fadiga (H1), com efeito grande no vigor e médio na fadiga, enquanto as negativas permaneceram próximas do piso — coerente com o vigor e a fadiga como dimensões mais sensíveis à carga (SAW; MAIN; GASTIN, 2016; THORPE et al., 2017). A migração do iceberg para o perfil de fadiga (H2) reproduz o “derretimento do iceberg” e alinha-se aos perfis prototípicos validados (MORGAN, 1985; HAN; PARSONS-SMITH; TERRY, 2020). O afeto negativo acoplou-se à fadiga apenas sob carga acumulada (H3), e a resposta foi heterogênea entre atletas (H4), com a fadiga sendo a única dimensão a piorar de forma confiável na maioria — o que sustenta o monitoramento individualizado (KELLMANN et al., 2018).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aptidão aeróbia intermitente modulou a resposta: atletas mais aptos reportaram mais vigor e menos fadiga, coerente com o papel da capacidade intermitente na tolerância ao esforço do handebol (KARCHER; BUCHHEIT, 2014; FERNANDES-DA-SILVA et al., 2016); o limiar de pico de velocidade oferece uma referência prática. A sonolência acompanhou a fadiga, ao passo que o estresse percebido não, e os dias de HIIT concentraram pior humor por acúmulo no microciclo. Como limitações, destacam-se o tamanho amostral (n = 27), o efeito de piso das negativas e o desenho observacional de fase única. Análises complementares no Material Suplementar (pós-teste, alométrico, sinal–ruído) reforçam a robustez dos achados.</w:t>
      </w:r>
    </w:p>
    <w:p>
      <w:pPr>
        <w:spacing w:before="200" w:after="80" w:line="360" w:lineRule="auto"/>
      </w:pPr>
      <w:r>
        <w:rPr>
          <w:b/>
          <w:sz w:val="24"/>
        </w:rPr>
        <w:t>5 CONCLUSÕES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Na última semana de pré-temporada, o perfil de humor de handebolistas de elite migrou da prontidão (iceberg) para a fadiga funcional, com a deterioração concentrada no eixo energia–fadiga — as dimensões mais sensíveis —, tanto no grupo quanto no sujeito. A aptidão aeróbia intermitente e o sono modularam a resposta. Recomenda-se monitorar o eixo energia–fadiga por tendência, referenciado à linha de base individual e à aptidão física de cada atleta.</w:t>
      </w:r>
    </w:p>
    <w:p>
      <w:pPr>
        <w:spacing w:before="200" w:after="80" w:line="360" w:lineRule="auto"/>
      </w:pPr>
      <w:r>
        <w:rPr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COHEN, S.; KAMARCK, T.; MERMELSTEIN, R. A global measure of perceived stress. Journal of Health and Social Behavior, v. 24, n. 4, p. 385–396, 1983.</w:t>
      </w:r>
    </w:p>
    <w:p>
      <w:pPr>
        <w:spacing w:line="360" w:lineRule="auto" w:after="120"/>
        <w:jc w:val="both"/>
      </w:pPr>
      <w:r>
        <w:rPr>
          <w:sz w:val="22"/>
        </w:rPr>
        <w:t>FERNANDES-DA-SILVA, J. et al. The peak velocity derived from the Carminatti Test is related to physical match performance in young soccer players. Journal of Sports Sciences, v. 34, n. 24, p. 2238–2245, 2016.</w:t>
      </w:r>
    </w:p>
    <w:p>
      <w:pPr>
        <w:spacing w:line="360" w:lineRule="auto" w:after="120"/>
        <w:jc w:val="both"/>
      </w:pPr>
      <w:r>
        <w:rPr>
          <w:sz w:val="22"/>
        </w:rPr>
        <w:t>HAN, C.; PARSONS-SMITH, R. L.; TERRY, P. C. Mood profiling in Singapore: cross-cultural validation and potential applications of mood profile clusters. Frontiers in Psychology, v. 11, 665, 2020.</w:t>
      </w:r>
    </w:p>
    <w:p>
      <w:pPr>
        <w:spacing w:line="360" w:lineRule="auto" w:after="120"/>
        <w:jc w:val="both"/>
      </w:pPr>
      <w:r>
        <w:rPr>
          <w:sz w:val="22"/>
        </w:rPr>
        <w:t>JACOBSON, N. S.; TRUAX, P. Clinical significance: a statistical approach to defining meaningful change. Journal of Consulting and Clinical Psychology, v. 59, n. 1, p. 12–19, 1991.</w:t>
      </w:r>
    </w:p>
    <w:p>
      <w:pPr>
        <w:spacing w:line="360" w:lineRule="auto" w:after="120"/>
        <w:jc w:val="both"/>
      </w:pPr>
      <w:r>
        <w:rPr>
          <w:sz w:val="22"/>
        </w:rPr>
        <w:t>JOHNS, M. W. A new method for measuring daytime sleepiness: the Epworth Sleepiness Scale. Sleep, v. 14, n. 6, p. 540–545, 1991.</w:t>
      </w:r>
    </w:p>
    <w:p>
      <w:pPr>
        <w:spacing w:line="360" w:lineRule="auto" w:after="120"/>
        <w:jc w:val="both"/>
      </w:pPr>
      <w:r>
        <w:rPr>
          <w:sz w:val="22"/>
        </w:rPr>
        <w:t>KARCHER, C.; BUCHHEIT, M. On-court demands of elite handball, with special reference to playing positions. Sports Medicine, v. 44, n. 6, p. 797–814, 2014.</w:t>
      </w:r>
    </w:p>
    <w:p>
      <w:pPr>
        <w:spacing w:line="360" w:lineRule="auto" w:after="120"/>
        <w:jc w:val="both"/>
      </w:pPr>
      <w:r>
        <w:rPr>
          <w:sz w:val="22"/>
        </w:rPr>
        <w:t>KELLMANN, M. et al. Recovery and performance in sport: consensus statement. International Journal of Sports Physiology and Performance, v. 13, n. 2, p. 240–245, 2018.</w:t>
      </w:r>
    </w:p>
    <w:p>
      <w:pPr>
        <w:spacing w:line="360" w:lineRule="auto" w:after="120"/>
        <w:jc w:val="both"/>
      </w:pPr>
      <w:r>
        <w:rPr>
          <w:sz w:val="22"/>
        </w:rPr>
        <w:t>MICHALSIK, L. B.; MADSEN, K.; AAGAARD, P. Match performance and physiological capacity of female elite team handball players. International Journal of Sports Medicine, v. 35, n. 7, p. 595–607, 2013.</w:t>
      </w:r>
    </w:p>
    <w:p>
      <w:pPr>
        <w:spacing w:line="360" w:lineRule="auto" w:after="120"/>
        <w:jc w:val="both"/>
      </w:pPr>
      <w:r>
        <w:rPr>
          <w:sz w:val="22"/>
        </w:rPr>
        <w:t>MORGAN, W. P. Selected psychological factors limiting performance: a mental health model. In: CLARKE, D. H.; ECKERT, H. M. (Ed.). Limits of human performance. Champaign: Human Kinetics, 1985. p. 70–80.</w:t>
      </w:r>
    </w:p>
    <w:p>
      <w:pPr>
        <w:spacing w:line="360" w:lineRule="auto" w:after="120"/>
        <w:jc w:val="both"/>
      </w:pPr>
      <w:r>
        <w:rPr>
          <w:sz w:val="22"/>
        </w:rPr>
        <w:t>NEVILL, A. M.; LANE, A. M. Why self-report “Likert” scale data should not be log-transformed. Journal of Sports Sciences, v. 25, n. 1, p. 1–2, 2007.</w:t>
      </w:r>
    </w:p>
    <w:p>
      <w:pPr>
        <w:spacing w:line="360" w:lineRule="auto" w:after="120"/>
        <w:jc w:val="both"/>
      </w:pPr>
      <w:r>
        <w:rPr>
          <w:sz w:val="22"/>
        </w:rPr>
        <w:t>PARSONS-SMITH, R. L.; TERRY, P. C.; MACHIN, M. A. Identification and description of novel mood profile clusters. Frontiers in Psychology, v. 8, 1958, 2017.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A Escala de Humor de Brunel (Brums). Revista Brasileira de Medicina do Esporte, v. 14, n. 3, p. 176–181, 2008.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Psychometric characteristics of the Brazil Mood Scale among youth and elite athletes. Sports, v. 11, n. 12, 244, 2023.</w:t>
      </w:r>
    </w:p>
    <w:p>
      <w:pPr>
        <w:spacing w:line="360" w:lineRule="auto" w:after="120"/>
        <w:jc w:val="both"/>
      </w:pPr>
      <w:r>
        <w:rPr>
          <w:sz w:val="22"/>
        </w:rPr>
        <w:t>SAW, A. E.; MAIN, L. C.; GASTIN, P. B. Monitoring the athlete training response: subjective self-reported measures trump commonly used objective measures. British Journal of Sports Medicine, v. 50, n. 5, p. 281–291, 2016.</w:t>
      </w:r>
    </w:p>
    <w:p>
      <w:pPr>
        <w:spacing w:line="360" w:lineRule="auto" w:after="120"/>
        <w:jc w:val="both"/>
      </w:pPr>
      <w:r>
        <w:rPr>
          <w:sz w:val="22"/>
        </w:rPr>
        <w:t>TERRY, P. C.; LANE, A. M.; FOGARTY, G. J. Construct validity of the Profile of Mood States — Adolescents for use with adults. Psychology of Sport and Exercise, v. 4, n. 2, p. 125–139, 2003.</w:t>
      </w:r>
    </w:p>
    <w:p>
      <w:pPr>
        <w:spacing w:line="360" w:lineRule="auto" w:after="120"/>
        <w:jc w:val="both"/>
      </w:pPr>
      <w:r>
        <w:rPr>
          <w:sz w:val="22"/>
        </w:rPr>
        <w:t>THORPE, R. T. et al. Monitoring fatigue status in elite team-sport athletes. International Journal of Sports Physiology and Performance, v. 12, s2, p. S2-27–S2-34, 2017.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