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MATERIAL SUPLEMENTAR</w:t>
      </w:r>
    </w:p>
    <w:p>
      <w:pPr>
        <w:spacing w:after="200"/>
        <w:jc w:val="center"/>
      </w:pPr>
      <w:r>
        <w:rPr>
          <w:i/>
          <w:sz w:val="24"/>
        </w:rPr>
        <w:t>Perfil de humor de atletas de handebol de elite na última semana de pré-temporada</w:t>
      </w:r>
    </w:p>
    <w:p>
      <w:pPr>
        <w:spacing w:line="360" w:lineRule="auto" w:after="120"/>
        <w:jc w:val="both"/>
      </w:pPr>
      <w:r>
        <w:rPr>
          <w:sz w:val="24"/>
        </w:rPr>
        <w:t>Este material reúne as análises complementares e as figuras detalhadas referidas no artigo principal: análise exploratória das distribuições, comparações complementares, análises individuais, o pós-teste temporal, os ajustes alométricos, as derivadas da trajetória e a decomposição sinal–ruído.</w:t>
      </w:r>
    </w:p>
    <w:p>
      <w:pPr>
        <w:spacing w:before="240" w:after="80" w:line="360" w:lineRule="auto"/>
      </w:pPr>
      <w:r>
        <w:rPr>
          <w:b/>
          <w:sz w:val="24"/>
        </w:rPr>
        <w:t>A. Análise exploratória das distribuições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 – Distribuição de frequências das seis dimensões do BRUMS (linha tracejada = mediana).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6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S2 – Diagramas de caixa das seis dimensões por dia.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6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l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S3 – Matriz de dispersão entre as seis dimensões (médias semanais por atleta).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tra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S4 – Trajetória das dimensões ao longo da semana (médias diárias; áreas sombreadas = IC95%).</w:t>
      </w:r>
    </w:p>
    <w:p>
      <w:pPr>
        <w:spacing w:before="160" w:after="40"/>
      </w:pPr>
      <w:r>
        <w:rPr>
          <w:sz w:val="22"/>
        </w:rPr>
        <w:t>Tabela S1 – Normalidade (Shapiro-Wilk), assimetria e consistência (ICC) por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Assimetria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+3,63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boa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+3,73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before="160" w:after="40"/>
      </w:pPr>
      <w:r>
        <w:rPr>
          <w:sz w:val="22"/>
        </w:rPr>
        <w:t>Tabela S2 – Coeficiente de variação entre atletas e intraindividual, por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entre atletas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CV intraindividual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</w:tr>
    </w:tbl>
    <w:p>
      <w:pPr>
        <w:spacing w:after="80"/>
      </w:pPr>
      <w:r>
        <w:rPr>
          <w:i/>
          <w:sz w:val="17"/>
        </w:rPr>
        <w:t>PTH excluída por assumir valores ≤ 0.</w:t>
      </w:r>
    </w:p>
    <w:p>
      <w:pPr>
        <w:spacing w:before="240" w:after="80" w:line="360" w:lineRule="auto"/>
      </w:pPr>
      <w:r>
        <w:rPr>
          <w:b/>
          <w:sz w:val="24"/>
        </w:rPr>
        <w:t>B. Comparações complementares e sensibilidade</w:t>
      </w:r>
    </w:p>
    <w:p>
      <w:pPr>
        <w:spacing w:before="160" w:after="40"/>
      </w:pPr>
      <w:r>
        <w:rPr>
          <w:sz w:val="22"/>
        </w:rPr>
        <w:t>Tabela S3 – Resposta aguda pré → pós das seis dimensões em escores T (MANOVA de medidas repetidas; 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Pré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Pós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0,293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0,042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4,06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0,135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49,9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0,474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0,020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-0,74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0,363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9,71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0,272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0,008</w:t>
            </w:r>
          </w:p>
        </w:tc>
      </w:tr>
    </w:tbl>
    <w:p>
      <w:pPr>
        <w:spacing w:after="80"/>
      </w:pPr>
      <w:r>
        <w:rPr>
          <w:i/>
          <w:sz w:val="17"/>
        </w:rPr>
        <w:t>Wilks λ = 0,423; F(6,21) = 4,77; p = 0,003; η²ₚ = 0,58. * p &lt; 0,05.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7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pre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S5 – Perfil de humor em escores T nos momentos pré e pós-treino.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5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dumbbe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S6 – Comparação Dia 1 versus Dia 7 dos escores de todas as variáveis.</w:t>
      </w:r>
    </w:p>
    <w:p>
      <w:pPr>
        <w:spacing w:before="160" w:after="40"/>
      </w:pPr>
      <w:r>
        <w:rPr>
          <w:sz w:val="22"/>
        </w:rPr>
        <w:t>Tabela S4 – Sensibilidade à variação semanal e teste de Friedman (7 dias), ordenadas por |dz| (Dia 1 → Dia 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Ordem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dz (D1→D7)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Friedman χ²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W de Kendall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Difere entre dias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0,039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0,936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não</w:t>
            </w:r>
          </w:p>
        </w:tc>
      </w:tr>
    </w:tbl>
    <w:p>
      <w:pPr>
        <w:spacing w:after="80"/>
      </w:pPr>
      <w:r>
        <w:rPr>
          <w:i/>
          <w:sz w:val="17"/>
        </w:rPr>
        <w:t>Casos completos (n = 19).</w:t>
      </w:r>
    </w:p>
    <w:p>
      <w:pPr>
        <w:spacing w:before="160" w:after="40"/>
      </w:pPr>
      <w:r>
        <w:rPr>
          <w:sz w:val="22"/>
        </w:rPr>
        <w:t>Tabela S5 – Correlação de Spearman entre as dimensões do BRUMS (nível entre atletas, 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 de dimensões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-0,38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0,052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0,403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0,593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0,496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0,563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0,070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0,437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0,006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0,091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Vig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S7 – Vigor ao longo da semana: médias diárias (banda = IC95%), diagramas de caixa por dia e efeito Dia 1 → Dia 7.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Fadig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S8 – Fadiga ao longo da semana: médias diárias (banda = IC95%), diagramas de caixa por dia e efeito Dia 1 → Dia 7.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4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Tens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S9 – Tensão ao longo da semana: médias diárias (banda = IC95%), diagramas de caixa por dia e efeito Dia 1 → Dia 7.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4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Depres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S10 – Depressão ao longo da semana: médias diárias (banda = IC95%), diagramas de caixa por dia e efeito Dia 1 → Dia 7.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4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Rai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S11 – Raiva ao longo da semana: médias diárias (banda = IC95%), diagramas de caixa por dia e efeito Dia 1 → Dia 7.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4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Confus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S12 – Confusão ao longo da semana: médias diárias (banda = IC95%), diagramas de caixa por dia e efeito Dia 1 → Dia 7.</w:t>
      </w:r>
    </w:p>
    <w:p>
      <w:pPr>
        <w:spacing w:before="240" w:after="80" w:line="360" w:lineRule="auto"/>
      </w:pPr>
      <w:r>
        <w:rPr>
          <w:b/>
          <w:sz w:val="24"/>
        </w:rPr>
        <w:t>C. Análise no nível do atleta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8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spaghett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S13 – Trajetórias individuais de vigor e fadiga (linhas cinzas = atletas; linha colorida = média do grupo).</w:t>
      </w:r>
    </w:p>
    <w:p>
      <w:pPr>
        <w:spacing w:before="160" w:after="40"/>
      </w:pPr>
      <w:r>
        <w:rPr>
          <w:sz w:val="22"/>
        </w:rPr>
        <w:t>Tabela S6 – Perfil de humor de cada atleta no Dia 1 e no Dia 7 e classificação da transição (n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Atleta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no 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A09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Everest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A18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Submerso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estável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Barbatana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Superfície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transição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A26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 inv.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melhora</w:t>
            </w:r>
          </w:p>
        </w:tc>
      </w:tr>
    </w:tbl>
    <w:p>
      <w:pPr>
        <w:spacing w:before="240" w:after="80" w:line="360" w:lineRule="auto"/>
      </w:pPr>
      <w:r>
        <w:rPr>
          <w:b/>
          <w:sz w:val="24"/>
        </w:rPr>
        <w:t>D. Dinâmica temporal: pós-teste, cruzamento e derivadas</w:t>
      </w:r>
    </w:p>
    <w:p>
      <w:pPr>
        <w:spacing w:before="160" w:after="40"/>
      </w:pPr>
      <w:r>
        <w:rPr>
          <w:sz w:val="22"/>
        </w:rPr>
        <w:t>Tabela S7 – Médias marginais estimadas (modelo misto) por dia e pós-teste vs. Dia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 (BRUMS)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 física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7,45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5,26*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6,01*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5,13*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5,88*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6,73*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5,82*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6,13*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4,44*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7,14*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7,60*</w:t>
            </w:r>
          </w:p>
        </w:tc>
      </w:tr>
    </w:tbl>
    <w:p>
      <w:pPr>
        <w:spacing w:after="80"/>
      </w:pPr>
      <w:r>
        <w:rPr>
          <w:i/>
          <w:sz w:val="17"/>
        </w:rPr>
        <w:t>* diferença significativa vs. Dia 1 (Tukey, p &lt; 0,05).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53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em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S14 – Trajetória diária (médias marginais do modelo misto) com pós-teste vs. Dia 1 e destaque dos dias de maior variação.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914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cro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S15 – Cruzamento vigor × fadiga por dia e momento (pré → pós dentro de cada dia).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deriv_ex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S16 – Velocidade (barras) e aceleração (linha) diárias da trajetória de cada variável.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4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vardecom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S17 – Decomposição da variância de cada variável em componentes entre atletas, dia e resíduo.</w:t>
      </w:r>
    </w:p>
    <w:p>
      <w:pPr>
        <w:spacing w:before="160" w:after="40"/>
      </w:pPr>
      <w:r>
        <w:rPr>
          <w:sz w:val="22"/>
        </w:rPr>
        <w:t>Tabela S8 – Limites (amplitude), derivada máxima e decomposição da variância por variável do humor.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Variável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 do sinal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Amplitude intra-atleta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Dia de maior taxa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Taxa (pontos/dia)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Var. entre atletas (%)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Var. dia (%)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Var. resíduo (%)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2,83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7,11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-2,72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8,37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+2,49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37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6,24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20,11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+6,07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36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-0,29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3,00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+0,37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5,85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+1,58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64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2,22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-0,48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56</w:t>
            </w:r>
          </w:p>
        </w:tc>
      </w:tr>
    </w:tbl>
    <w:p>
      <w:pPr>
        <w:spacing w:before="240" w:after="80" w:line="360" w:lineRule="auto"/>
      </w:pPr>
      <w:r>
        <w:rPr>
          <w:b/>
          <w:sz w:val="24"/>
        </w:rPr>
        <w:t>E. Ajuste alométrico e decomposição sinal–ruído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ll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S18 – Ajuste alométrico (lei de potência) da trajetória de fadiga em escala linear e log-log.</w:t>
      </w:r>
    </w:p>
    <w:p>
      <w:pPr>
        <w:spacing w:before="160" w:after="40"/>
      </w:pPr>
      <w:r>
        <w:rPr>
          <w:sz w:val="22"/>
        </w:rPr>
        <w:t>Tabela S9 – Ajuste alométrico da trajetória diária (Y = a · dia^b) das variáveis de fadiga.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0,002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(BRUMS)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3,99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0,286</w:t>
            </w:r>
          </w:p>
        </w:tc>
      </w:tr>
    </w:tbl>
    <w:p>
      <w:pPr>
        <w:spacing w:after="80"/>
      </w:pPr>
      <w:r>
        <w:rPr>
          <w:i/>
          <w:sz w:val="17"/>
        </w:rPr>
        <w:t>b &lt; 1 = processo saturante. Escalonamento da aptidão: PV = a·massa^-0,19; ρ aptidão–fadiga bruta = -0,49, alométrica = -0,31.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ro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S19 – Curvas ROC (Dia 7 vs. Dia 1) com e sem ruído (medidas brutas vs. médias diárias).</w:t>
      </w:r>
    </w:p>
    <w:p>
      <w:pPr>
        <w:spacing w:before="160" w:after="40"/>
      </w:pPr>
      <w:r>
        <w:rPr>
          <w:sz w:val="22"/>
        </w:rPr>
        <w:t>Tabela S10 – Decomposição sinal–ruído: confiabilidade, erro típico, razão sinal–ruído, discriminação (ROC) e mudança detectável.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Variável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 (1 medida)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ETM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RSR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 c/ ruído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 s/ ruído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 (1)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MDC95 (2)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2,08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(BRUMS)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2,47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6,03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16,7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11,8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mental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1,48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2,9</w:t>
            </w:r>
          </w:p>
        </w:tc>
      </w:tr>
    </w:tbl>
    <w:p>
      <w:pPr>
        <w:spacing w:after="80"/>
      </w:pPr>
      <w:r>
        <w:rPr>
          <w:i/>
          <w:sz w:val="17"/>
        </w:rPr>
        <w:t>ETM = erro típico de medida; RSR = razão sinal–ruído; MDC95 (k) = mínima mudança detectável com k coletas.</w:t>
      </w:r>
    </w:p>
    <w:p>
      <w:pPr>
        <w:spacing w:before="240" w:after="80" w:line="360" w:lineRule="auto"/>
      </w:pPr>
      <w:r>
        <w:rPr>
          <w:b/>
          <w:sz w:val="24"/>
        </w:rPr>
        <w:t>F. Sono, estresse e carga de HIIT</w:t>
      </w:r>
    </w:p>
    <w:p>
      <w:pPr>
        <w:spacing w:before="160" w:after="40"/>
      </w:pPr>
      <w:r>
        <w:rPr>
          <w:sz w:val="22"/>
        </w:rPr>
        <w:t>Tabela S11 – Correlação de Spearman da sonolência (Epworth) e do estresse percebido (PSS) com o humor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Desfecho semanal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Epworth ρ (p)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PSS ρ (p)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-0,30 (0,133)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-0,11 (0,580)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+0,50 (0,007)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-0,13 (0,513)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+0,46 (0,015)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+0,21 (0,299)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+0,34 (0,082)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+0,02 (0,911)</w:t>
            </w:r>
          </w:p>
        </w:tc>
      </w:tr>
    </w:tbl>
    <w:p>
      <w:pPr>
        <w:spacing w:after="80"/>
      </w:pPr>
      <w:r>
        <w:rPr>
          <w:i/>
          <w:sz w:val="17"/>
        </w:rPr>
        <w:t>Epworth: M = 9,2 ± 4,4; 14 de 27 atletas com sonolência excessiva (&gt; 10). PSS: M = 22,0 ± 4,6.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89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son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S20 – Sonolência (Epworth) e fadiga: dispersão com reta de regressão e comparação sonolentos vs. não sonolentos.</w:t>
      </w:r>
    </w:p>
    <w:p>
      <w:pPr>
        <w:spacing w:before="160" w:after="40"/>
      </w:pPr>
      <w:r>
        <w:rPr>
          <w:sz w:val="22"/>
        </w:rPr>
        <w:t>Tabela S12 – Humor e fadiga nos dias com vs. sem HIIT (média por atleta; Wilcoxon pareado, n = 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Dias com HIIT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Dias sem HIIT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dz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5,49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+2,13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6,28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0,011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+0,58</w:t>
            </w:r>
          </w:p>
        </w:tc>
      </w:tr>
    </w:tbl>
    <w:p>
      <w:pPr>
        <w:spacing w:after="80"/>
      </w:pPr>
      <w:r>
        <w:rPr>
          <w:i/>
          <w:sz w:val="17"/>
        </w:rPr>
        <w:t>Dias com HIIT = 2, 4 e 7; sem HIIT = 1, 3, 5 e 6. Resposta aguda pré→pós não diferiu entre HIIT e não-HIIT (p &gt; 0,05).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698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hi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9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S21 – Humor e fadiga nos dias com vs. sem HIIT (* p &lt; 0,05).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884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intrada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2"/>
        </w:rPr>
        <w:t>Figura S22 – Escores pré e pós-treino por dia (vigor, fadiga, PTH) e variação intra-dia das dimensões negativas.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