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duas vezes ao dia por sete dias (456 observações).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-0,95) e a fadiga subiu (d = +0,72), confirmado por MANOVA (Wilks λ = 0,283; p = 0,002). O vigor foi máximo no Dia 1 e a fadiga no Dia 7; o perfil iceberg caiu e o de fadiga subiu (χ² = 14,58; p = 0,012). Maior aptidão associou-se a menos fadiga (ρ = -0,54), com limiar de 14,9 km/h.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para a fadiga funcional;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Esse padrão de esforço eleva a carga interna nos microciclos de acúmulo e repercute no estado afetivo, sobretudo na última semana de pré-temporada, quando a carga que antecede a competição se concentra. A tolerância a essa carga depende da aptidão aeróbia intermitente, cujo marcador de campo — o pico de velocidade do Teste de Carminatti (T-CAR) — associa-se ao desempenho físico em modalidades intermitentes (FERNANDES-DA-SILVA et al., 2016).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e (ix) analisar o T-CAR e o limiar de pico de velocidade.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O T-CAR foi aplicado em 15 de abril de 2024, quatro dias de treino antes do início do microciclo, de modo a servir como parâmetro fisiológico de linha de base das análises.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registro de data e hora, duas vezes por dia de treino — a primeira resposta tomada como pré e a última como pós —, ao longo de sete dias, totalizando 456 observações válidas.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+131%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(19%; d = -0,74)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0,040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0,269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0,936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12,3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0,056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0,23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= 0,022; W = 0,13), a fadiga (p = 0,040; W = 0,12), a tensão (p = 0,039) e a confusão (p =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5,88*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5,82*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7,60*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7 dos 21 pares de dias e a fadiga em 8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Wilks λ = 0,283; F(6,15) = 6,32; p = 0,002; η²ₚ = 0,72.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0,283; F(6,15) = 6,32; p = 0,002; η²ₚ = 0,72). Nos testes univariados com o critério corrigido de Bonferroni (α = 0,008), apenas o vigor (d = -0,95) e a fadiga (d = +0,72) permaneceram significativos — evidenciando que o efeito se concentra no eixo energia–fadiga —, enquanto a tensão (p = 0,014) e a confusão (p = 0,049), significativas apenas sob α = 0,05, não resistiram à correção (Tabela 9; Figura 4). A resposta aguda pré → pós também foi multivariadamente significativa (Wilks λ = 0,423; p = 0,003),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4,70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1,79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0,15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4.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+0,20), mas no dia de maior fadiga torna-se forte (ρ = +0,75).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mas com nítida reorganização entre o primeiro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primeiro e no último dia da semana: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migrou do iceberg (40% no Dia 1) para a barbatana de tubarão (28% no Dia 7), com o iceberg caindo para 17% (Figura 11; Tabela 12).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(40%), mas, ao final do microciclo, eleva marcadamente a barbatana de tubarão (28%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-0,54; p = 0,005) e mais vigor (ρ = +0,48; p = 0,015) ao longo da semana (Figura 13). A partir de um modelo que estima a probabilidade de um dia de fadiga elevada em função do pico de velocidade, identificou-se um limiar de aproximadamente 14,9 km/h (área sob a curva = 0,69; sensibilidade = 0,79; especificidade = 0,60): abaixo desse valor, os atletas apresentaram maior probabilidade de dias de fadiga elevada, o que fornece uma referência objetiva para individualizar a carga.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−19%, d = -0,74; fadiga +34%, d = +0,60) quanto na comparação do primeiro ao último dia (vigor d = -0,95; fadiga d = +0,72). A robustez desse achado é sustentada por três abordagens convergentes — o pós-teste do modelo misto comparando todos os dias, o teste de Friedman e a análise multivariada em escores T (Wilks λ = 0,283; F(6,15) = 6,32; p = 0,002; η²ₚ = 0,72). Sob o critério conservador de Bonferroni, apenas o vigor (η²ₚ = 0,49) e a fadiga (η²ₚ = 0,35)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+0,20; raiva × fadiga ρ = +0,14); no dia de maior fadiga (Dia 7), esse acoplamento tornou-se forte (depressão × fadiga ρ = +0,75; raiva × fadiga ρ = +0,64).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a migração do iceberg (prontidão) para a barbatana de tubarão (fadiga funcional) ao longo da semana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(28%)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+0,48; p = 0,015) e menos fadiga física (ρ = -0,54; p = 0,005) ao longo da semana, e um limiar de pico de velocidade de aproximadamente 14,9 km/h discriminou os dias de maior fadiga (área sob a curva = 0,69). Esse resultado é coerente com o papel da capacidade intermitente na tolerância ao esforço repetido do handebol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