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DINÂMICA DO HUMOR EM UM MICROCICLO PRÉ-COMPETITIVO DE HANDEBOL DE ELITE: PERFIS DE HUMOR E O EIXO ENERGIA–FADIGA</w:t>
      </w:r>
    </w:p>
    <w:p>
      <w:pPr>
        <w:spacing w:after="200"/>
        <w:jc w:val="center"/>
      </w:pPr>
      <w:r>
        <w:rPr>
          <w:i/>
          <w:sz w:val="22"/>
        </w:rPr>
        <w:t>(versão resumida para apreciação)</w:t>
      </w:r>
    </w:p>
    <w:p>
      <w:pPr>
        <w:spacing w:before="40" w:after="80" w:line="360" w:lineRule="auto"/>
      </w:pPr>
      <w:r>
        <w:rPr>
          <w:b/>
          <w:sz w:val="24"/>
        </w:rPr>
        <w:t>RESUMO</w:t>
      </w:r>
    </w:p>
    <w:p>
      <w:pPr>
        <w:spacing w:line="360" w:lineRule="auto" w:after="120"/>
        <w:ind w:firstLine="709"/>
        <w:jc w:val="both"/>
      </w:pPr>
      <w:r>
        <w:rPr>
          <w:b/>
          <w:sz w:val="24"/>
        </w:rPr>
        <w:t xml:space="preserve">Objetivo: </w:t>
      </w:r>
      <w:r>
        <w:rPr>
          <w:b w:val="0"/>
          <w:sz w:val="24"/>
        </w:rPr>
        <w:t xml:space="preserve">descrever a dinâmica do humor de atletas de handebol de elite ao longo de um microciclo pré-competitivo, com ênfase nos perfis de humor e no eixo energia–fadiga. </w:t>
      </w:r>
      <w:r>
        <w:rPr>
          <w:b/>
          <w:sz w:val="24"/>
        </w:rPr>
        <w:t xml:space="preserve">Método: </w:t>
      </w:r>
      <w:r>
        <w:rPr>
          <w:b w:val="0"/>
          <w:sz w:val="24"/>
        </w:rPr>
        <w:t xml:space="preserve">27 atletas do sexo masculino responderam ao BRUMS-24 durante sete dias, com uma coleta de linha de base e duas coletas diárias (pré e pós-treino) nos seis dias de treino, e um total de 286 observações. Aplicaram-se estatística descritiva, consistência interna, classificação dos seis perfis de humor e comparação entre dias e entre pré e pós-treino, sempre com o cálculo do tamanho e da magnitude do efeito. </w:t>
      </w:r>
      <w:r>
        <w:rPr>
          <w:b/>
          <w:sz w:val="24"/>
        </w:rPr>
        <w:t xml:space="preserve">Resultados: </w:t>
      </w:r>
      <w:r>
        <w:rPr>
          <w:b w:val="0"/>
          <w:sz w:val="24"/>
        </w:rPr>
        <w:t xml:space="preserve">a deterioração concentrou-se no eixo energia–fadiga: o vigor caiu e a fadiga subiu do primeiro para o último dia, com efeito grande (d = -1,33 e d = 0,78) e confirmação multivariada (Wilks λ = 0,181; p &lt; 0,001). A prevalência dos perfis deslocou-se do iceberg (48% no primeiro dia) para a barbatana de tubarão (22% no último dia), com aumento da chance desse perfil a cada dia (OR = 1,37). </w:t>
      </w:r>
      <w:r>
        <w:rPr>
          <w:b/>
          <w:sz w:val="24"/>
        </w:rPr>
        <w:t xml:space="preserve">Conclusão: </w:t>
      </w:r>
      <w:r>
        <w:rPr>
          <w:b w:val="0"/>
          <w:sz w:val="24"/>
        </w:rPr>
        <w:t>o humor migrou da prontidão para a fadiga funcional, em um padrão compatível com sobre-esforço funcional, o que recomenda centrar o monitoramento no par vigor–fadiga.</w:t>
      </w:r>
    </w:p>
    <w:p>
      <w:pPr>
        <w:spacing w:line="360" w:lineRule="auto" w:after="160"/>
        <w:jc w:val="both"/>
      </w:pPr>
      <w:r>
        <w:rPr>
          <w:b w:val="0"/>
          <w:sz w:val="22"/>
        </w:rPr>
        <w:t>Palavras-chave: humor; BRUMS; handebol; perfis de humor; fadiga; monitoramento do atleta.</w:t>
      </w:r>
    </w:p>
    <w:p>
      <w:pPr>
        <w:spacing w:before="200" w:after="80" w:line="360" w:lineRule="auto"/>
      </w:pPr>
      <w:r>
        <w:rPr>
          <w:b/>
          <w:sz w:val="24"/>
        </w:rPr>
        <w:t>1 INTRODUÇÃO</w:t>
      </w:r>
    </w:p>
    <w:p>
      <w:pPr>
        <w:spacing w:line="360" w:lineRule="auto" w:after="0"/>
        <w:ind w:firstLine="709"/>
        <w:jc w:val="both"/>
      </w:pPr>
      <w:r>
        <w:rPr>
          <w:b w:val="0"/>
          <w:sz w:val="24"/>
        </w:rPr>
        <w:t>O monitoramento do estado psicológico consolidou-se como parte da gestão do treinamento no esporte de rendimento. Os instrumentos de autorrelato do humor são práticos, econômicos e sensíveis às variações da carga, e mostram utilidade para o acompanhamento do bem-estar e do desempenho (SAW; MAIN; GASTIN, 2016; LOCHBAUM et al., 2021). Por esse motivo, documentos de consenso recomendam o seu uso rotineiro para vigiar a fadiga e orientar as decisões de treino e recuperação (KELLMANN et al., 2018). Entre as dimensões avaliadas, o vigor e a fadiga formam o eixo mais responsivo à carga e sustentam boa parte do valor prático do monitoramento.</w:t>
      </w:r>
    </w:p>
    <w:p>
      <w:pPr>
        <w:spacing w:line="360" w:lineRule="auto" w:after="0"/>
        <w:ind w:firstLine="709"/>
        <w:jc w:val="both"/>
      </w:pPr>
      <w:r>
        <w:rPr>
          <w:b w:val="0"/>
          <w:sz w:val="24"/>
        </w:rPr>
        <w:t>A Escala de Humor de Brunel (BRUMS) mede seis dimensões do humor, a saber, tensão, depressão, raiva, vigor, fadiga e confusão, e dispõe de validação para o português (TERRY; LANE; FOGARTY, 2003; ROHLFS et al., 2008). A partir dessas dimensões, Terry e colaboradores descreveram seis perfis de humor que resumem o estado do atleta em um único quadro, entre os quais o perfil iceberg, que exprime prontidão, e a barbatana de tubarão, que sinaliza fadiga com vigor ainda preservado (MORGAN, 1985; PARSONS-SMITH; TERRY; MACHIN, 2017; TERRY et al., 2021). A leitura por perfis aproxima o dado psicométrico da linguagem do treinador e facilita a tomada de decisão (HAN; PARSONS-SMITH; TERRY, 2020).</w:t>
      </w:r>
    </w:p>
    <w:p>
      <w:pPr>
        <w:spacing w:line="360" w:lineRule="auto" w:after="0"/>
        <w:ind w:firstLine="709"/>
        <w:jc w:val="both"/>
      </w:pPr>
      <w:r>
        <w:rPr>
          <w:b w:val="0"/>
          <w:sz w:val="24"/>
        </w:rPr>
        <w:t>O handebol é uma modalidade coletiva intermitente de alta intensidade, com sprints curtos, mudanças de direção, saltos e contato físico, o que impõe elevada demanda neuromuscular e psicofisiológica ao longo da semana de treino (KARCHER; BUCHHEIT, 2014; GARCÍA-SÁNCHEZ et al., 2023). Nesse contexto, a acumulação de carga tende a corroer o vigor e a elevar a fadiga, um padrão que, quando controlado, caracteriza o sobre-esforço funcional e antecede a recuperação planejada (THORPE et al., 2017; ROETE et al., 2021). O acompanhamento do humor oferece, assim, um marcador sensível e de baixo custo para essa janela.</w:t>
      </w:r>
    </w:p>
    <w:p>
      <w:pPr>
        <w:spacing w:line="360" w:lineRule="auto" w:after="0"/>
        <w:ind w:firstLine="709"/>
        <w:jc w:val="both"/>
      </w:pPr>
      <w:r>
        <w:rPr>
          <w:b w:val="0"/>
          <w:sz w:val="24"/>
        </w:rPr>
        <w:t>Apesar do interesse crescente, poucos estudos descrevem a migração dos perfis de humor dentro de um microciclo de handebol de elite, com coletas pré e pós-treino que capturam também a variação dentro do dia. O presente trabalho reúne essa descrição em um formato direto e visual, de modo a evidenciar como o par vigor–fadiga governa a mudança do estado do atleta e como os perfis se reconfiguram entre o início e o fim da semana (DE MIRANDA ROHLFS et al., 2024).</w:t>
      </w:r>
    </w:p>
    <w:p>
      <w:pPr>
        <w:spacing w:before="200" w:after="80" w:line="360" w:lineRule="auto"/>
      </w:pPr>
      <w:r>
        <w:rPr>
          <w:b/>
          <w:sz w:val="24"/>
        </w:rPr>
        <w:t>2 OBJETIVO</w:t>
      </w:r>
    </w:p>
    <w:p>
      <w:pPr>
        <w:spacing w:line="360" w:lineRule="auto" w:after="0"/>
        <w:ind w:firstLine="709"/>
        <w:jc w:val="both"/>
      </w:pPr>
      <w:r>
        <w:rPr>
          <w:b w:val="0"/>
          <w:sz w:val="24"/>
        </w:rPr>
        <w:t>Descrever e caracterizar a dinâmica do humor de atletas de handebol de elite ao longo de um microciclo pré-competitivo, com destaque para o comportamento dos seis perfis de humor, para a mudança entre o primeiro e o último dia, para a variação entre pré e pós-treino e para a magnitude dos efeitos ao longo da semana.</w:t>
      </w:r>
    </w:p>
    <w:p>
      <w:pPr>
        <w:spacing w:before="200" w:after="80" w:line="360" w:lineRule="auto"/>
      </w:pPr>
      <w:r>
        <w:rPr>
          <w:b/>
          <w:sz w:val="24"/>
        </w:rPr>
        <w:t>3 MÉTODO</w:t>
      </w:r>
    </w:p>
    <w:p>
      <w:pPr>
        <w:spacing w:line="360" w:lineRule="auto" w:after="0"/>
        <w:ind w:firstLine="709"/>
        <w:jc w:val="both"/>
      </w:pPr>
      <w:r>
        <w:rPr>
          <w:b w:val="0"/>
          <w:sz w:val="24"/>
        </w:rPr>
        <w:t>Participaram 27 atletas de handebol do sexo masculino, de nível de elite (idade de 22,0 ± 3,8 anos; 10,5 ± 3,8 anos de prática), das posições de armador, ala, pivô e goleiro. O humor foi avaliado pela BRUMS-24, que reúne seis dimensões (tensão, depressão, raiva, vigor, fadiga e confusão) com escores de 0 a 16, a partir das quais se calculou também a perturbação total do humor (PTH). O delineamento cobriu sete dias de um microciclo pré-competitivo, com uma coleta de linha de base no primeiro dia e duas coletas diárias, uma antes e outra depois do treino, nos seis dias subsequentes, o que totalizou 286 observações.</w:t>
      </w:r>
    </w:p>
    <w:p>
      <w:pPr>
        <w:spacing w:line="360" w:lineRule="auto" w:after="0"/>
        <w:ind w:firstLine="709"/>
        <w:jc w:val="both"/>
      </w:pPr>
      <w:r>
        <w:rPr>
          <w:b w:val="0"/>
          <w:sz w:val="24"/>
        </w:rPr>
        <w:t>Na análise, empregaram-se estatística descritiva das seis dimensões e da PTH e avaliação da consistência interna por alfa de Cronbach. Como o teste de Shapiro-Wilk apontou desvios da normalidade em parte das dimensões, adotaram-se testes não paramétricos: o teste de Wilcoxon para a comparação entre pré e pós-treino, o teste de Friedman com o W de Kendall para a comparação entre os sete dias e a correlação de Spearman para as relações entre as dimensões, sempre com o cálculo do tamanho do efeito, classificado por magnitude (trivial, pequeno, médio ou grande no d de Cohen e no dz; trivial, pequeno, moderado ou grande no W de Kendall). A confirmação multivariada da diferença entre o primeiro e o último dia recorreu à MANOVA em escores T. Cada observação foi classificada em um dos seis perfis de humor a partir dos escores padronizados, e a distribuição dos perfis entre o primeiro e o último dia foi avaliada pelo teste do qui-quadrado, com a tendência de migração resumida por uma regressão logística ao longo dos dias. A consistência das medidas repetidas foi estimada pelo coeficiente de correlação intraclasse (ICC). Adotou-se nível de significância de 5%.</w:t>
      </w:r>
    </w:p>
    <w:p>
      <w:pPr>
        <w:spacing w:before="200" w:after="80" w:line="360" w:lineRule="auto"/>
      </w:pPr>
      <w:r>
        <w:rPr>
          <w:b/>
          <w:sz w:val="24"/>
        </w:rPr>
        <w:t>4 RESULTADOS</w:t>
      </w:r>
    </w:p>
    <w:p>
      <w:pPr>
        <w:spacing w:before="120" w:after="80" w:line="360" w:lineRule="auto"/>
      </w:pPr>
      <w:r>
        <w:rPr>
          <w:b/>
          <w:sz w:val="24"/>
        </w:rPr>
        <w:t>4.1 Descrição e consistência das dimensões</w:t>
      </w:r>
    </w:p>
    <w:p>
      <w:pPr>
        <w:spacing w:line="360" w:lineRule="auto" w:after="0"/>
        <w:ind w:firstLine="709"/>
        <w:jc w:val="both"/>
      </w:pPr>
      <w:r>
        <w:rPr>
          <w:b w:val="0"/>
          <w:sz w:val="24"/>
        </w:rPr>
        <w:t>A Tabela 1 resume as seis dimensões do BRUMS e a PTH no conjunto das observações. O vigor apresentou a maior média entre as dimensões, ao passo que as dimensões negativas concentraram-se em valores baixos, com médias próximas do limite inferior da escala. Esse padrão indica um grupo, em geral, bem ajustado, no qual a fadiga e o vigor ocupam a maior parte da faixa de resposta e sustentam a leitura do estado do atleta.</w:t>
      </w:r>
    </w:p>
    <w:p>
      <w:pPr>
        <w:spacing w:before="160" w:after="40"/>
      </w:pPr>
      <w:r>
        <w:rPr>
          <w:sz w:val="22"/>
        </w:rPr>
        <w:t>Tabela 1 – Estatística descritiva das dimensões do BRUMS e da perturbação total do humor (286 observações).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5,7</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bl>
    <w:p>
      <w:pPr>
        <w:spacing w:after="0"/>
      </w:pPr>
      <w:r>
        <w:rPr>
          <w:i/>
          <w:sz w:val="17"/>
        </w:rPr>
        <w:t>DP: desvio-padrão. PTH: perturbação total do humor. Escores das dimensões variam de 0 a 16.</w:t>
      </w:r>
    </w:p>
    <w:p>
      <w:pPr>
        <w:spacing w:after="120"/>
      </w:pPr>
      <w:r>
        <w:rPr>
          <w:sz w:val="18"/>
        </w:rPr>
        <w:t>Fonte: dados da pesquisa (2026).</w:t>
      </w:r>
    </w:p>
    <w:p>
      <w:pPr>
        <w:spacing w:line="360" w:lineRule="auto" w:after="0"/>
        <w:ind w:firstLine="709"/>
        <w:jc w:val="both"/>
      </w:pPr>
      <w:r>
        <w:rPr>
          <w:b w:val="0"/>
          <w:sz w:val="24"/>
        </w:rPr>
        <w:t>A Figura 1 apresenta os diagramas de caixa das seis dimensões, em ordem canônica e em painéis separados, com a mediana e a média de cada uma. Como as dimensões diferem muito em amplitude, cada painel usa a escala da própria variável, o que torna a distribuição de cada uma mais legível. O vigor e a fadiga percorrem a maior parte da escala e apresentam média e mediana próximas, sinal de distribuições razoavelmente simétricas, ao passo que as dimensões negativas concentram a caixa junto ao zero e exibem a média acima da mediana, o que revela assimetria positiva e um efeito de piso.</w:t>
      </w:r>
    </w:p>
    <w:p>
      <w:pPr>
        <w:spacing w:before="120"/>
        <w:jc w:val="center"/>
      </w:pPr>
      <w:r>
        <w:drawing>
          <wp:inline xmlns:a="http://schemas.openxmlformats.org/drawingml/2006/main" xmlns:pic="http://schemas.openxmlformats.org/drawingml/2006/picture">
            <wp:extent cx="4860000" cy="2243077"/>
            <wp:docPr id="1" name="Picture 1"/>
            <wp:cNvGraphicFramePr>
              <a:graphicFrameLocks noChangeAspect="1"/>
            </wp:cNvGraphicFramePr>
            <a:graphic>
              <a:graphicData uri="http://schemas.openxmlformats.org/drawingml/2006/picture">
                <pic:pic>
                  <pic:nvPicPr>
                    <pic:cNvPr id="0" name="box_humor.png"/>
                    <pic:cNvPicPr/>
                  </pic:nvPicPr>
                  <pic:blipFill>
                    <a:blip r:embed="rId9"/>
                    <a:stretch>
                      <a:fillRect/>
                    </a:stretch>
                  </pic:blipFill>
                  <pic:spPr>
                    <a:xfrm>
                      <a:off x="0" y="0"/>
                      <a:ext cx="4860000" cy="2243077"/>
                    </a:xfrm>
                    <a:prstGeom prst="rect"/>
                  </pic:spPr>
                </pic:pic>
              </a:graphicData>
            </a:graphic>
          </wp:inline>
        </w:drawing>
      </w:r>
    </w:p>
    <w:p>
      <w:pPr>
        <w:jc w:val="center"/>
      </w:pPr>
      <w:r>
        <w:rPr>
          <w:sz w:val="22"/>
        </w:rPr>
        <w:t>Figura 1 – Diagramas de caixa das seis dimensões do BRUMS, em painéis separados e ordem canônica; cada painel usa a escala da própria variável, com a mediana (linha sólida) e a média (linha tracejada e losango).</w:t>
      </w:r>
    </w:p>
    <w:p>
      <w:pPr>
        <w:spacing w:after="120"/>
        <w:jc w:val="center"/>
      </w:pPr>
      <w:r>
        <w:rPr>
          <w:sz w:val="18"/>
        </w:rPr>
        <w:t>Fonte: elaboração dos autores (2026).</w:t>
      </w:r>
    </w:p>
    <w:p>
      <w:pPr>
        <w:spacing w:line="360" w:lineRule="auto" w:after="0"/>
        <w:ind w:firstLine="709"/>
        <w:jc w:val="both"/>
      </w:pPr>
      <w:r>
        <w:rPr>
          <w:b w:val="0"/>
          <w:sz w:val="24"/>
        </w:rPr>
        <w:t>A consistência interna foi adequada nas duas dimensões do eixo energia–fadiga (alfa de 0,68 para o vigor e 0,80 para a fadiga), o que reforça a confiança na sua medida. A PTH, por reunir as seis dimensões em um único índice, associou-se de forma forte ao vigor e à fadiga (correlações de 0,67 e 0,77, respectivamente), e essas duas dimensões explicaram 70% da sua variância, o que confirma o eixo energia–fadiga como o núcleo do sinal.</w:t>
      </w:r>
    </w:p>
    <w:p>
      <w:pPr>
        <w:spacing w:before="160" w:after="40"/>
      </w:pPr>
      <w:r>
        <w:rPr>
          <w:sz w:val="22"/>
        </w:rPr>
        <w:t>Tabela 2 – Consistência das medidas repetidas ao longo da semana (coeficiente de correlação intraclasse, ICC).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ICC(2,k)</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Consistência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bl>
    <w:p>
      <w:pPr>
        <w:spacing w:after="0"/>
      </w:pPr>
      <w:r>
        <w:rPr>
          <w:i/>
          <w:sz w:val="17"/>
        </w:rPr>
        <w:t>ICC(2,1) = medida isolada; ICC(2,k) = média das medidas. Consistência: &lt; 0,50 pobre; 0,50–0,75 moderada; &gt; 0,75 boa.</w:t>
      </w:r>
    </w:p>
    <w:p>
      <w:pPr>
        <w:spacing w:after="120"/>
      </w:pPr>
      <w:r>
        <w:rPr>
          <w:sz w:val="18"/>
        </w:rPr>
        <w:t>Fonte: dados da pesquisa (2026).</w:t>
      </w:r>
    </w:p>
    <w:p>
      <w:pPr>
        <w:spacing w:line="360" w:lineRule="auto" w:after="0"/>
        <w:ind w:firstLine="709"/>
        <w:jc w:val="both"/>
      </w:pPr>
      <w:r>
        <w:rPr>
          <w:b w:val="0"/>
          <w:sz w:val="24"/>
        </w:rPr>
        <w:t>A consistência das medidas repetidas ao longo da semana (Tabela 2) foi moderada a boa, com os valores mais baixos na raiva e na confusão, dimensões mais reativas de um dia para o outro, o que também recomenda cautela na leitura isolada dessas dimensões.</w:t>
      </w:r>
    </w:p>
    <w:p>
      <w:pPr>
        <w:spacing w:line="360" w:lineRule="auto" w:after="0"/>
        <w:ind w:firstLine="709"/>
        <w:jc w:val="both"/>
      </w:pPr>
      <w:r>
        <w:rPr>
          <w:b w:val="0"/>
          <w:sz w:val="24"/>
        </w:rPr>
        <w:t>A partir do ICC derivaram-se os limiares de mudança das duas dimensões do eixo energia–fadiga (Tabela 3), úteis para separar a variação real do ruído de medida. No vigor, o erro-padrão de medida foi de 2,3 ponto e a mudança mínima detectável, de 5,3 (90%) a 6,3 (95%) pontos; na fadiga, de 2,5 e de 5,9 a 7,0 pontos, respectivamente. Esses valores superam a menor mudança relevante (SWC = 0,5 no vigor e 0,6 na fadiga), o que indica que, no plano individual, apenas oscilações de cerca de 5,3 a 5,9 pontos podem ser lidas como mudança real, ao passo que variações menores se confundem com o ruído. Por esse motivo, a interpretação deste estudo apoia-se nas tendências de grupo e não em leituras isoladas por atleta.</w:t>
      </w:r>
    </w:p>
    <w:p>
      <w:pPr>
        <w:spacing w:before="160" w:after="40"/>
      </w:pPr>
      <w:r>
        <w:rPr>
          <w:sz w:val="22"/>
        </w:rPr>
        <w:t>Tabela 3 – Erro de medida e limiares de mudança do vigor e da fadiga (escala 0–16): erro-padrão de medida (SEM), mudança mínima detectável (MDC) e menor mudança relevante (SWC).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SEM</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SWC</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6,3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5,9</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0,6</w:t>
            </w:r>
          </w:p>
        </w:tc>
      </w:tr>
    </w:tbl>
    <w:p>
      <w:pPr>
        <w:spacing w:after="0"/>
      </w:pPr>
      <w:r>
        <w:rPr>
          <w:i/>
          <w:sz w:val="17"/>
        </w:rPr>
        <w:t>SEM = DP × √(1 − ICC); MDC = 1,65 (90%) ou 1,96 (95%) × √2 × SEM; SWC = 0,2 × DP entre atletas. Uma mudança individual só é tomada como real quando excede a MDC.</w:t>
      </w:r>
    </w:p>
    <w:p>
      <w:pPr>
        <w:spacing w:after="120"/>
      </w:pPr>
      <w:r>
        <w:rPr>
          <w:sz w:val="18"/>
        </w:rPr>
        <w:t>Fonte: dados da pesquisa (2026).</w:t>
      </w:r>
    </w:p>
    <w:p>
      <w:pPr>
        <w:spacing w:before="120" w:after="80" w:line="360" w:lineRule="auto"/>
      </w:pPr>
      <w:r>
        <w:rPr>
          <w:b/>
          <w:sz w:val="24"/>
        </w:rPr>
        <w:t>4.2 Perfis de humor e sua migração</w:t>
      </w:r>
    </w:p>
    <w:p>
      <w:pPr>
        <w:spacing w:line="360" w:lineRule="auto" w:after="0"/>
        <w:ind w:firstLine="709"/>
        <w:jc w:val="both"/>
      </w:pPr>
      <w:r>
        <w:rPr>
          <w:b w:val="0"/>
          <w:sz w:val="24"/>
        </w:rPr>
        <w:t>Os seis perfis de humor descritos na literatura estiveram representados na amostra. A Figura 2 apresenta cada perfil identificado no estudo em escores T, com a respectiva prevalência, o que permite reconhecer a sua forma característica. O perfil iceberg exprime prontidão, com o vigor acima da média e as dimensões negativas abaixo, ao passo que a barbatana de tubarão sinaliza pico isolado de fadiga, o submerso reúne todas as dimensões abaixo da média e o Everest invertido eleva todas as dimensões negativas (PARSONS-SMITH; TERRY; MACHIN, 2017).</w:t>
      </w:r>
    </w:p>
    <w:p>
      <w:pPr>
        <w:spacing w:before="120"/>
        <w:jc w:val="center"/>
      </w:pPr>
      <w:r>
        <w:drawing>
          <wp:inline xmlns:a="http://schemas.openxmlformats.org/drawingml/2006/main" xmlns:pic="http://schemas.openxmlformats.org/drawingml/2006/picture">
            <wp:extent cx="4500000" cy="2448000"/>
            <wp:docPr id="2" name="Picture 2"/>
            <wp:cNvGraphicFramePr>
              <a:graphicFrameLocks noChangeAspect="1"/>
            </wp:cNvGraphicFramePr>
            <a:graphic>
              <a:graphicData uri="http://schemas.openxmlformats.org/drawingml/2006/picture">
                <pic:pic>
                  <pic:nvPicPr>
                    <pic:cNvPr id="0" name="xb6_clusters.png"/>
                    <pic:cNvPicPr/>
                  </pic:nvPicPr>
                  <pic:blipFill>
                    <a:blip r:embed="rId10"/>
                    <a:stretch>
                      <a:fillRect/>
                    </a:stretch>
                  </pic:blipFill>
                  <pic:spPr>
                    <a:xfrm>
                      <a:off x="0" y="0"/>
                      <a:ext cx="4500000" cy="2448000"/>
                    </a:xfrm>
                    <a:prstGeom prst="rect"/>
                  </pic:spPr>
                </pic:pic>
              </a:graphicData>
            </a:graphic>
          </wp:inline>
        </w:drawing>
      </w:r>
    </w:p>
    <w:p>
      <w:pPr>
        <w:jc w:val="center"/>
      </w:pPr>
      <w:r>
        <w:rPr>
          <w:sz w:val="22"/>
        </w:rPr>
        <w:t>Figura 2 – Perfis de humor identificados na amostra, em escores T (M = 50; DP = 10) nas seis dimensões; prevalência de cada perfil entre parênteses.</w:t>
      </w:r>
    </w:p>
    <w:p>
      <w:pPr>
        <w:spacing w:after="120"/>
        <w:jc w:val="center"/>
      </w:pPr>
      <w:r>
        <w:rPr>
          <w:sz w:val="18"/>
        </w:rPr>
        <w:t>Fonte: elaboração dos autores (2026).</w:t>
      </w:r>
    </w:p>
    <w:p>
      <w:pPr>
        <w:spacing w:line="360" w:lineRule="auto" w:after="0"/>
        <w:ind w:firstLine="709"/>
        <w:jc w:val="both"/>
      </w:pPr>
      <w:r>
        <w:rPr>
          <w:b w:val="0"/>
          <w:sz w:val="24"/>
        </w:rPr>
        <w:t>A comparação entre o primeiro e o último dia do microciclo revelou a reconfiguração do perfil médio do grupo. A Figura 3 mostra que, no primeiro dia, o perfil assumiu o formato iceberg, com o vigor no topo e as dimensões negativas abaixo da média populacional. No último dia, o perfil inverteu-se para a forma de barbatana de tubarão, com a fadiga no topo e o vigor rebaixado, o que traduz a acumulação da carga ao longo da semana.</w:t>
      </w:r>
    </w:p>
    <w:p>
      <w:pPr>
        <w:spacing w:before="120"/>
        <w:jc w:val="center"/>
      </w:pPr>
      <w:r>
        <w:drawing>
          <wp:inline xmlns:a="http://schemas.openxmlformats.org/drawingml/2006/main" xmlns:pic="http://schemas.openxmlformats.org/drawingml/2006/picture">
            <wp:extent cx="4680000" cy="2523130"/>
            <wp:docPr id="3" name="Picture 3"/>
            <wp:cNvGraphicFramePr>
              <a:graphicFrameLocks noChangeAspect="1"/>
            </wp:cNvGraphicFramePr>
            <a:graphic>
              <a:graphicData uri="http://schemas.openxmlformats.org/drawingml/2006/picture">
                <pic:pic>
                  <pic:nvPicPr>
                    <pic:cNvPr id="0" name="xb5_profile_d1d7.png"/>
                    <pic:cNvPicPr/>
                  </pic:nvPicPr>
                  <pic:blipFill>
                    <a:blip r:embed="rId11"/>
                    <a:stretch>
                      <a:fillRect/>
                    </a:stretch>
                  </pic:blipFill>
                  <pic:spPr>
                    <a:xfrm>
                      <a:off x="0" y="0"/>
                      <a:ext cx="4680000" cy="2523130"/>
                    </a:xfrm>
                    <a:prstGeom prst="rect"/>
                  </pic:spPr>
                </pic:pic>
              </a:graphicData>
            </a:graphic>
          </wp:inline>
        </w:drawing>
      </w:r>
    </w:p>
    <w:p>
      <w:pPr>
        <w:jc w:val="center"/>
      </w:pPr>
      <w:r>
        <w:rPr>
          <w:sz w:val="22"/>
        </w:rPr>
        <w:t>Figura 3 – Perfil de humor em escores T no primeiro e no último dia do microciclo.</w:t>
      </w:r>
    </w:p>
    <w:p>
      <w:pPr>
        <w:spacing w:after="120"/>
        <w:jc w:val="center"/>
      </w:pPr>
      <w:r>
        <w:rPr>
          <w:sz w:val="18"/>
        </w:rPr>
        <w:t>Fonte: elaboração dos autores (2026).</w:t>
      </w:r>
    </w:p>
    <w:p>
      <w:pPr>
        <w:spacing w:line="360" w:lineRule="auto" w:after="0"/>
        <w:ind w:firstLine="709"/>
        <w:jc w:val="both"/>
      </w:pPr>
      <w:r>
        <w:rPr>
          <w:b w:val="0"/>
          <w:sz w:val="24"/>
        </w:rPr>
        <w:t>Essa mudança de forma correspondeu a um deslocamento da prevalência dos perfis (Tabela 4). O perfil iceberg caiu de 48% no primeiro dia para 22% no último, enquanto a barbatana de tubarão subiu de 4% para 22% e o perfil submerso passou de 4% para 14%. A reorganização categórica não alcançou significância no teste do qui-quadrado (χ² = 8,96; p = 0,111), resultado esperado pela baixa contagem por célula quando poucas observações se distribuem por seis perfis. A regressão logística de tendência, porém, confirmou o aumento da chance do perfil de barbatana de tubarão a cada dia (OR = 1,37), sem que os perfis de maior risco à saúde mental se instalassem.</w:t>
      </w:r>
    </w:p>
    <w:p>
      <w:pPr>
        <w:spacing w:before="160" w:after="40"/>
      </w:pPr>
      <w:r>
        <w:rPr>
          <w:sz w:val="22"/>
        </w:rPr>
        <w:t>Tabela 4 – Distribuição dos seis perfis de humor no primeiro e no último dia do microciclo: n (%).</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584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 n (%)</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 n (%)</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13 (48,1%)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4 (14,8%)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4 (10,8%)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2 (7,4%)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2 (5,4%)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5 (13,5%)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6 (22,2%)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10 (27,0%)</w:t>
            </w:r>
          </w:p>
        </w:tc>
      </w:tr>
    </w:tbl>
    <w:p>
      <w:pPr>
        <w:spacing w:after="0"/>
      </w:pPr>
      <w:r>
        <w:rPr>
          <w:i/>
          <w:sz w:val="17"/>
        </w:rPr>
        <w:t>χ² = 8,96; p = 0,111. A migração é descritiva e converge com a queda do vigor e a elevação da fadiga.</w:t>
      </w:r>
    </w:p>
    <w:p>
      <w:pPr>
        <w:spacing w:after="120"/>
      </w:pPr>
      <w:r>
        <w:rPr>
          <w:sz w:val="18"/>
        </w:rPr>
        <w:t>Fonte: dados da pesquisa (2026).</w:t>
      </w:r>
    </w:p>
    <w:p>
      <w:pPr>
        <w:spacing w:before="120" w:after="80" w:line="360" w:lineRule="auto"/>
      </w:pPr>
      <w:r>
        <w:rPr>
          <w:b/>
          <w:sz w:val="24"/>
        </w:rPr>
        <w:t>4.3 Diferença entre o primeiro e o último dia (com tamanho de efeito)</w:t>
      </w:r>
    </w:p>
    <w:p>
      <w:pPr>
        <w:spacing w:line="360" w:lineRule="auto" w:after="0"/>
        <w:ind w:firstLine="709"/>
        <w:jc w:val="both"/>
      </w:pPr>
      <w:r>
        <w:rPr>
          <w:b w:val="0"/>
          <w:sz w:val="24"/>
        </w:rPr>
        <w:t>A comparação entre o primeiro e o último dia do microciclo quantificou a magnitude da mudança em cada dimensão (Tabela 5). O efeito foi grande no vigor, que caiu 49% (dz = -1,33), e na fadiga, que subiu 115% (dz = 0,78), ao passo que as demais dimensões apresentaram efeitos de menor magnitude. A análise multivariada confirmou a diferença global entre os dois dias (Wilks λ = 0,181; p &lt; 0,001), e, sob a correção de Bonferroni, apenas o vigor e a fadiga permaneceram significativos, o que concentra o efeito no eixo energia–fadiga.</w:t>
      </w:r>
    </w:p>
    <w:p>
      <w:pPr>
        <w:spacing w:before="160" w:after="40"/>
      </w:pPr>
      <w:r>
        <w:rPr>
          <w:sz w:val="22"/>
        </w:rPr>
        <w:t>Tabela 5 – Diferença das dimensões do BRUMS e da PTH entre o primeiro e o último dia do microciclo (com tamanho e magnitude do efeito).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dz</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grande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7,36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0,504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2,64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0,875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+672%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dz = tamanho de efeito intraindividual (mudança padronizada); magnitude: trivial (&lt; 0,2); pequeno (0,2–0,5); médio (0,5–0,8); grande (&gt; 0,8). PTH: perturbação total do humor.</w:t>
      </w:r>
    </w:p>
    <w:p>
      <w:pPr>
        <w:spacing w:after="120"/>
      </w:pPr>
      <w:r>
        <w:rPr>
          <w:sz w:val="18"/>
        </w:rPr>
        <w:t>Fonte: dados da pesquisa (2026).</w:t>
      </w:r>
    </w:p>
    <w:p>
      <w:pPr>
        <w:spacing w:before="120" w:after="80" w:line="360" w:lineRule="auto"/>
      </w:pPr>
      <w:r>
        <w:rPr>
          <w:b/>
          <w:sz w:val="24"/>
        </w:rPr>
        <w:t>4.4 Comparação das dimensões entre os dias (Friedman)</w:t>
      </w:r>
    </w:p>
    <w:p>
      <w:pPr>
        <w:spacing w:line="360" w:lineRule="auto" w:after="0"/>
        <w:ind w:firstLine="709"/>
        <w:jc w:val="both"/>
      </w:pPr>
      <w:r>
        <w:rPr>
          <w:b w:val="0"/>
          <w:sz w:val="24"/>
        </w:rPr>
        <w:t>A comparação das dimensões entre os sete dias pelo teste de Friedman (Tabela 6) apontou variação significativa no vigor (p &lt; 0,001; W = 0,21) e na fadiga (p = 0,007; W = 0,16), com magnitude pequena a moderada, além de diferenças na tensão e na confusão. O vigor foi máximo no Dia 1 e mínimo no Dia 7, enquanto a fadiga percorreu o caminho inverso, com pico no Dia 7, um padrão coerente com o acúmulo de carga dentro da faixa funcional.</w:t>
      </w:r>
    </w:p>
    <w:p>
      <w:pPr>
        <w:spacing w:before="160" w:after="40"/>
      </w:pPr>
      <w:r>
        <w:rPr>
          <w:sz w:val="22"/>
        </w:rPr>
        <w:t>Tabela 6 – Médias diárias das dimensões do BRUMS e teste de Friedman com W de Kendall e magnitude do efeito (comparação entre os sete dias).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134"/>
        <w:gridCol w:w="640"/>
        <w:gridCol w:w="640"/>
        <w:gridCol w:w="640"/>
        <w:gridCol w:w="640"/>
        <w:gridCol w:w="640"/>
        <w:gridCol w:w="640"/>
        <w:gridCol w:w="640"/>
        <w:gridCol w:w="640"/>
        <w:gridCol w:w="640"/>
        <w:gridCol w:w="640"/>
        <w:gridCol w:w="1530"/>
      </w:tblGrid>
      <w:tr>
        <w:tc>
          <w:tcPr>
            <w:tcW w:type="dxa" w:w="1134"/>
            <w:tcBorders>
              <w:top w:val="single" w:sz="6" w:color="000000"/>
              <w:bottom w:val="single" w:sz="6" w:color="000000"/>
              <w:left w:val="nil" w:sz="6" w:color="000000"/>
              <w:right w:val="nil" w:sz="6" w:color="000000"/>
            </w:tcBorders>
          </w:tcPr>
          <w:p>
            <w:pPr>
              <w:jc w:val="center"/>
            </w:pPr>
            <w:r/>
            <w:r>
              <w:rPr>
                <w:rFonts w:ascii="Times New Roman" w:hAnsi="Times New Roman"/>
                <w:b/>
                <w:sz w:val="16"/>
              </w:rPr>
              <w:t>Dimensão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χ²</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p</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W</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6"/>
              </w:rPr>
              <w:t>Magnitude</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Tensão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Depressão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Raiva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0,247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Vigor</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4,4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23,6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Fadiga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6,0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Confusão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22,9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PTH</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bl>
    <w:p>
      <w:pPr>
        <w:spacing w:after="0"/>
      </w:pPr>
      <w:r>
        <w:rPr>
          <w:i/>
          <w:sz w:val="17"/>
        </w:rPr>
        <w:t>W de Kendall = tamanho de efeito do teste de Friedman; magnitude: trivial (&lt; 0,1); pequeno (0,1–0,3); moderado (0,3–0,5); grande (&gt; 0,5). PTH: perturbação total do humor.</w:t>
      </w:r>
    </w:p>
    <w:p>
      <w:pPr>
        <w:spacing w:after="120"/>
      </w:pPr>
      <w:r>
        <w:rPr>
          <w:sz w:val="18"/>
        </w:rPr>
        <w:t>Fonte: dados da pesquisa (2026).</w:t>
      </w:r>
    </w:p>
    <w:p>
      <w:pPr>
        <w:spacing w:line="360" w:lineRule="auto" w:after="0"/>
        <w:ind w:firstLine="709"/>
        <w:jc w:val="both"/>
      </w:pPr>
      <w:r>
        <w:rPr>
          <w:b w:val="0"/>
          <w:sz w:val="24"/>
        </w:rPr>
        <w:t>A Figura 4 ilustra a trajetória do vigor, da fadiga e da PTH ao longo da semana, com a queda progressiva do vigor e a elevação da fadiga e da PTH em direção ao fim do microciclo.</w:t>
      </w:r>
    </w:p>
    <w:p>
      <w:pPr>
        <w:spacing w:before="12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abnt_f1_trajetoria.png"/>
                    <pic:cNvPicPr/>
                  </pic:nvPicPr>
                  <pic:blipFill>
                    <a:blip r:embed="rId12"/>
                    <a:stretch>
                      <a:fillRect/>
                    </a:stretch>
                  </pic:blipFill>
                  <pic:spPr>
                    <a:xfrm>
                      <a:off x="0" y="0"/>
                      <a:ext cx="5220000" cy="2936250"/>
                    </a:xfrm>
                    <a:prstGeom prst="rect"/>
                  </pic:spPr>
                </pic:pic>
              </a:graphicData>
            </a:graphic>
          </wp:inline>
        </w:drawing>
      </w:r>
    </w:p>
    <w:p>
      <w:pPr>
        <w:jc w:val="center"/>
      </w:pPr>
      <w:r>
        <w:rPr>
          <w:sz w:val="22"/>
        </w:rPr>
        <w:t>Figura 4 – Trajetória de vigor, fadiga e perturbação total do humor ao longo dos sete dias.</w:t>
      </w:r>
    </w:p>
    <w:p>
      <w:pPr>
        <w:spacing w:after="120"/>
        <w:jc w:val="center"/>
      </w:pPr>
      <w:r>
        <w:rPr>
          <w:sz w:val="18"/>
        </w:rPr>
        <w:t>Fonte: elaboração dos autores (2026).</w:t>
      </w:r>
    </w:p>
    <w:p>
      <w:pPr>
        <w:spacing w:line="360" w:lineRule="auto" w:after="0"/>
        <w:ind w:firstLine="709"/>
        <w:jc w:val="both"/>
      </w:pPr>
      <w:r>
        <w:rPr>
          <w:b w:val="0"/>
          <w:sz w:val="24"/>
        </w:rPr>
        <w:t>A Figura 5 detalha, por meio de diagramas de caixa por dia, a distribuição de cada dimensão ao longo da semana. O deslocamento das caixas do vigor para baixo e das caixas da fadiga para cima, sobretudo na segunda metade do microciclo, torna visível a mesma deterioração do eixo energia–fadiga, ao passo que as dimensões negativas de menor expressão mantêm caixas comprimidas junto ao zero.</w:t>
      </w:r>
    </w:p>
    <w:p>
      <w:pPr>
        <w:spacing w:before="120"/>
        <w:jc w:val="center"/>
      </w:pPr>
      <w:r>
        <w:drawing>
          <wp:inline xmlns:a="http://schemas.openxmlformats.org/drawingml/2006/main" xmlns:pic="http://schemas.openxmlformats.org/drawingml/2006/picture">
            <wp:extent cx="5400000" cy="2630769"/>
            <wp:docPr id="5" name="Picture 5"/>
            <wp:cNvGraphicFramePr>
              <a:graphicFrameLocks noChangeAspect="1"/>
            </wp:cNvGraphicFramePr>
            <a:graphic>
              <a:graphicData uri="http://schemas.openxmlformats.org/drawingml/2006/picture">
                <pic:pic>
                  <pic:nvPicPr>
                    <pic:cNvPr id="0" name="xb3_box.png"/>
                    <pic:cNvPicPr/>
                  </pic:nvPicPr>
                  <pic:blipFill>
                    <a:blip r:embed="rId13"/>
                    <a:stretch>
                      <a:fillRect/>
                    </a:stretch>
                  </pic:blipFill>
                  <pic:spPr>
                    <a:xfrm>
                      <a:off x="0" y="0"/>
                      <a:ext cx="5400000" cy="2630769"/>
                    </a:xfrm>
                    <a:prstGeom prst="rect"/>
                  </pic:spPr>
                </pic:pic>
              </a:graphicData>
            </a:graphic>
          </wp:inline>
        </w:drawing>
      </w:r>
    </w:p>
    <w:p>
      <w:pPr>
        <w:jc w:val="center"/>
      </w:pPr>
      <w:r>
        <w:rPr>
          <w:sz w:val="22"/>
        </w:rPr>
        <w:t>Figura 5 – Diagramas de caixa das seis dimensões do BRUMS por dia do microciclo (áreas sombreadas: início e acúmulo da semana).</w:t>
      </w:r>
    </w:p>
    <w:p>
      <w:pPr>
        <w:spacing w:after="120"/>
        <w:jc w:val="center"/>
      </w:pPr>
      <w:r>
        <w:rPr>
          <w:sz w:val="18"/>
        </w:rPr>
        <w:t>Fonte: elaboração dos autores (2026).</w:t>
      </w:r>
    </w:p>
    <w:p>
      <w:pPr>
        <w:spacing w:before="120" w:after="80" w:line="360" w:lineRule="auto"/>
      </w:pPr>
      <w:r>
        <w:rPr>
          <w:b/>
          <w:sz w:val="24"/>
        </w:rPr>
        <w:t>4.5 Dias de pico e comparação de cada dia ao primeiro</w:t>
      </w:r>
    </w:p>
    <w:p>
      <w:pPr>
        <w:spacing w:line="360" w:lineRule="auto" w:after="0"/>
        <w:ind w:firstLine="709"/>
        <w:jc w:val="both"/>
      </w:pPr>
      <w:r>
        <w:rPr>
          <w:b w:val="0"/>
          <w:sz w:val="24"/>
        </w:rPr>
        <w:t>A localização dos picos sintetiza a dinâmica semanal (Tabela 7). O vigor foi máximo no Dia 1 e mínimo no Dia 7; a fadiga foi máxima no Dia 7; a tensão, no Dia 1; a raiva, no Dia 7; e a depressão, no Dia 7. Em síntese, o início da semana reúne maior prontidão, com vigor e tensão mais altos, ao passo que o final concentra a fadiga e a raiva.</w:t>
      </w:r>
    </w:p>
    <w:p>
      <w:pPr>
        <w:spacing w:before="160" w:after="40"/>
      </w:pPr>
      <w:r>
        <w:rPr>
          <w:sz w:val="22"/>
        </w:rPr>
        <w:t>Tabela 7 – Dia de maior e de menor expressão de cada dimensão do humor (médias diárias).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maior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menor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2,15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1,35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4,43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7,22</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0,21</w:t>
            </w:r>
          </w:p>
        </w:tc>
      </w:tr>
    </w:tbl>
    <w:p>
      <w:pPr>
        <w:spacing w:after="120"/>
      </w:pPr>
      <w:r>
        <w:rPr>
          <w:sz w:val="18"/>
        </w:rPr>
        <w:t>Fonte: dados da pesquisa (2026).</w:t>
      </w:r>
    </w:p>
    <w:p>
      <w:pPr>
        <w:spacing w:line="360" w:lineRule="auto" w:after="0"/>
        <w:ind w:firstLine="709"/>
        <w:jc w:val="both"/>
      </w:pPr>
      <w:r>
        <w:rPr>
          <w:b w:val="0"/>
          <w:sz w:val="24"/>
        </w:rPr>
        <w:t>No pós-teste que compara todos os dias entre si (Tabela 8; Figura 6), o vigor diferiu de forma significativa em 9 dos 21 pares de dias e a fadiga em 6, sempre no sentido de piora em relação aos primeiros dias, o que confirma a deterioração progressiva do eixo energia–fadiga ao longo do microciclo.</w:t>
      </w:r>
    </w:p>
    <w:p>
      <w:pPr>
        <w:spacing w:before="160" w:after="40"/>
      </w:pPr>
      <w:r>
        <w:rPr>
          <w:sz w:val="22"/>
        </w:rPr>
        <w:t>Tabela 8 – Médias marginais estimadas por dia do vigor e da fadiga, com comparação de cada dia ao Dia 1 (pós-teste de Tukey).</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5,18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4,84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4</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5,31*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5,80*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5,01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6</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7</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4,10*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6,93*</w:t>
            </w:r>
          </w:p>
        </w:tc>
      </w:tr>
    </w:tbl>
    <w:p>
      <w:pPr>
        <w:spacing w:after="0"/>
      </w:pPr>
      <w:r>
        <w:rPr>
          <w:i/>
          <w:sz w:val="17"/>
        </w:rPr>
        <w:t>* diferença significativa em relação ao Dia 1 (Tukey, p &lt; 0,05).</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220000" cy="2474667"/>
            <wp:docPr id="6" name="Picture 6"/>
            <wp:cNvGraphicFramePr>
              <a:graphicFrameLocks noChangeAspect="1"/>
            </wp:cNvGraphicFramePr>
            <a:graphic>
              <a:graphicData uri="http://schemas.openxmlformats.org/drawingml/2006/picture">
                <pic:pic>
                  <pic:nvPicPr>
                    <pic:cNvPr id="0" name="ph_emm.png"/>
                    <pic:cNvPicPr/>
                  </pic:nvPicPr>
                  <pic:blipFill>
                    <a:blip r:embed="rId14"/>
                    <a:stretch>
                      <a:fillRect/>
                    </a:stretch>
                  </pic:blipFill>
                  <pic:spPr>
                    <a:xfrm>
                      <a:off x="0" y="0"/>
                      <a:ext cx="5220000" cy="2474667"/>
                    </a:xfrm>
                    <a:prstGeom prst="rect"/>
                  </pic:spPr>
                </pic:pic>
              </a:graphicData>
            </a:graphic>
          </wp:inline>
        </w:drawing>
      </w:r>
    </w:p>
    <w:p>
      <w:pPr>
        <w:jc w:val="center"/>
      </w:pPr>
      <w:r>
        <w:rPr>
          <w:sz w:val="22"/>
        </w:rPr>
        <w:t>Figura 6 – Médias marginais diárias do vigor, da fadiga e da fadiga física, com comparação de todos os dias ao Dia 1 (* p &lt; 0,05).</w:t>
      </w:r>
    </w:p>
    <w:p>
      <w:pPr>
        <w:spacing w:after="120"/>
        <w:jc w:val="center"/>
      </w:pPr>
      <w:r>
        <w:rPr>
          <w:sz w:val="18"/>
        </w:rPr>
        <w:t>Fonte: elaboração dos autores (2026).</w:t>
      </w:r>
    </w:p>
    <w:p>
      <w:pPr>
        <w:spacing w:before="120" w:after="80" w:line="360" w:lineRule="auto"/>
      </w:pPr>
      <w:r>
        <w:rPr>
          <w:b/>
          <w:sz w:val="24"/>
        </w:rPr>
        <w:t>4.6 Variação entre pré e pós-treino (Wilcoxon)</w:t>
      </w:r>
    </w:p>
    <w:p>
      <w:pPr>
        <w:spacing w:line="360" w:lineRule="auto" w:after="0"/>
        <w:ind w:firstLine="709"/>
        <w:jc w:val="both"/>
      </w:pPr>
      <w:r>
        <w:rPr>
          <w:b w:val="0"/>
          <w:sz w:val="24"/>
        </w:rPr>
        <w:t>A comparação entre pré e pós-treino pelo teste de Wilcoxon (Tabela 9) evidenciou uma resposta aguda coerente com o esforço: o vigor caiu (d = -0,47) e a fadiga e a PTH subiram do momento pré para o pós, com efeito de magnitude pequena a moderada. Essa oscilação dentro do dia somou-se à tendência semanal e ajudou a compor o quadro de fadiga funcional observado no fim do microciclo.</w:t>
      </w:r>
    </w:p>
    <w:p>
      <w:pPr>
        <w:spacing w:before="160" w:after="40"/>
      </w:pPr>
      <w:r>
        <w:rPr>
          <w:sz w:val="22"/>
        </w:rPr>
        <w:t>Tabela 9 – Comparação entre pré e pós-treino das dimensões do BRUMS e da PTH (teste de Wilcoxon e d de Cohen).</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0,057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0,687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5,76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4,61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6,28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2,91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p do teste de Wilcoxon; d = tamanho de efeito de Cohen. PTH: perturbação total do humor.</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abnt_f_prepos.png"/>
                    <pic:cNvPicPr/>
                  </pic:nvPicPr>
                  <pic:blipFill>
                    <a:blip r:embed="rId15"/>
                    <a:stretch>
                      <a:fillRect/>
                    </a:stretch>
                  </pic:blipFill>
                  <pic:spPr>
                    <a:xfrm>
                      <a:off x="0" y="0"/>
                      <a:ext cx="5220000" cy="2936250"/>
                    </a:xfrm>
                    <a:prstGeom prst="rect"/>
                  </pic:spPr>
                </pic:pic>
              </a:graphicData>
            </a:graphic>
          </wp:inline>
        </w:drawing>
      </w:r>
    </w:p>
    <w:p>
      <w:pPr>
        <w:jc w:val="center"/>
      </w:pPr>
      <w:r>
        <w:rPr>
          <w:sz w:val="22"/>
        </w:rPr>
        <w:t>Figura 7 – Escores de vigor, fadiga e perturbação total do humor no pré e no pós-treino, por dia.</w:t>
      </w:r>
    </w:p>
    <w:p>
      <w:pPr>
        <w:spacing w:after="120"/>
        <w:jc w:val="center"/>
      </w:pPr>
      <w:r>
        <w:rPr>
          <w:sz w:val="18"/>
        </w:rPr>
        <w:t>Fonte: elaboração dos autores (2026).</w:t>
      </w:r>
    </w:p>
    <w:p>
      <w:pPr>
        <w:spacing w:before="120" w:after="80" w:line="360" w:lineRule="auto"/>
      </w:pPr>
      <w:r>
        <w:rPr>
          <w:b/>
          <w:sz w:val="24"/>
        </w:rPr>
        <w:t>4.7 Relações entre as dimensões (Spearman)</w:t>
      </w:r>
    </w:p>
    <w:p>
      <w:pPr>
        <w:spacing w:line="360" w:lineRule="auto" w:after="0"/>
        <w:ind w:firstLine="709"/>
        <w:jc w:val="both"/>
      </w:pPr>
      <w:r>
        <w:rPr>
          <w:b w:val="0"/>
          <w:sz w:val="24"/>
        </w:rPr>
        <w:t>As correlações de Spearman entre as dimensões (Tabela 10) mostraram que as dimensões negativas se associam entre si, com destaque para os pares depressão–raiva e tensão–confusão, e que a fadiga se relaciona com a depressão e a raiva. O vigor manteve-se relativamente independente das demais dimensões, o que reforça a sua leitura como um polo próprio do eixo energia–fadiga.</w:t>
      </w:r>
    </w:p>
    <w:p>
      <w:pPr>
        <w:spacing w:before="160" w:after="40"/>
      </w:pPr>
      <w:r>
        <w:rPr>
          <w:sz w:val="22"/>
        </w:rPr>
        <w:t>Tabela 10 – Correlações de Spearman significativas entre as dimensões do BRUMS (n = 27 atletas).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 de dimensões</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ρ</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 × Fadiga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Depressão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+0,49</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0,027</w:t>
            </w:r>
          </w:p>
        </w:tc>
      </w:tr>
    </w:tbl>
    <w:p>
      <w:pPr>
        <w:spacing w:after="0"/>
      </w:pPr>
      <w:r>
        <w:rPr>
          <w:i/>
          <w:sz w:val="17"/>
        </w:rPr>
        <w:t>ρ = coeficiente de correlação de Spearman. Apresentam-se apenas os pares com p &lt; 0,05.</w:t>
      </w:r>
    </w:p>
    <w:p>
      <w:pPr>
        <w:spacing w:after="120"/>
      </w:pPr>
      <w:r>
        <w:rPr>
          <w:sz w:val="18"/>
        </w:rPr>
        <w:t>Fonte: dados da pesquisa (2026).</w:t>
      </w:r>
    </w:p>
    <w:p>
      <w:pPr>
        <w:spacing w:before="200" w:after="80" w:line="360" w:lineRule="auto"/>
      </w:pPr>
      <w:r>
        <w:rPr>
          <w:b/>
          <w:sz w:val="24"/>
        </w:rPr>
        <w:t>5 DISCUSSÃO</w:t>
      </w:r>
    </w:p>
    <w:p>
      <w:pPr>
        <w:spacing w:line="360" w:lineRule="auto" w:after="0"/>
        <w:ind w:firstLine="709"/>
        <w:jc w:val="both"/>
      </w:pPr>
      <w:r>
        <w:rPr>
          <w:b w:val="0"/>
          <w:sz w:val="24"/>
        </w:rPr>
        <w:t>Os resultados descrevem, em um microciclo pré-competitivo de handebol de elite, a migração do humor da prontidão para a fadiga funcional. A queda do vigor e a elevação da fadiga entre o primeiro e o último dia alcançaram efeito grande e foram confirmadas pela análise multivariada, o que situa o eixo energia–fadiga como o principal responsável pela mudança do estado do atleta. Esse padrão reproduz, num microciclo de handebol, o comportamento já documentado em outras modalidades sob acúmulo de carga, em que o par vigor–fadiga se mostra o mais responsivo e antecede as demais dimensões (PIERCE, 2002; THORPE et al., 2017; FERREIRA et al., 2026).</w:t>
      </w:r>
    </w:p>
    <w:p>
      <w:pPr>
        <w:spacing w:line="360" w:lineRule="auto" w:after="0"/>
        <w:ind w:firstLine="709"/>
        <w:jc w:val="both"/>
      </w:pPr>
      <w:r>
        <w:rPr>
          <w:b w:val="0"/>
          <w:sz w:val="24"/>
        </w:rPr>
        <w:t>A leitura por perfis acrescentou clareza a essa descrição. O deslocamento do perfil iceberg para a barbatana de tubarão traduz, em uma única imagem, a acumulação da carga sem os sinais de comprometimento da saúde mental, uma vez que os perfis de maior risco não se instalaram. Quando comparados à distribuição de referência de uma grande amostra brasileira, na qual o iceberg predomina e os perfis de risco são raros, os nossos dados partem de um predomínio semelhante de iceberg e elevam a barbatana de tubarão apenas ao fim da semana, o que evidencia o efeito específico do acúmulo de carga sobre o perfil de fadiga (PARSONS-SMITH; TERRY; MACHIN, 2017; DE MIRANDA ROHLFS et al., 2024). Assim, os perfis funcionam como uma linguagem direta de comunicação com a comissão técnica (HAN; PARSONS-SMITH; TERRY, 2020).</w:t>
      </w:r>
    </w:p>
    <w:p>
      <w:pPr>
        <w:spacing w:line="360" w:lineRule="auto" w:after="0"/>
        <w:ind w:firstLine="709"/>
        <w:jc w:val="both"/>
      </w:pPr>
      <w:r>
        <w:rPr>
          <w:b w:val="0"/>
          <w:sz w:val="24"/>
        </w:rPr>
        <w:t>Os tamanhos de efeito reforçam essa interpretação e delimitam o que é relevante no monitoramento. A magnitude foi grande na comparação entre o primeiro e o último dia do vigor e da fadiga, e permaneceu de pequena a moderada nas comparações entre todos os dias e entre pré e pós-treino, sempre concentrada no eixo energia–fadiga. A consistência interna adequada dessas duas dimensões, a sua correlação intraclasse de moderada a boa e a forte associação com a perturbação total do humor convergem para a mesma conclusão por caminhos independentes. As dimensões negativas, concentradas em valores baixos e com menor confiabilidade, contribuíram pouco para a variação, o que recomenda centrar o monitoramento rotineiro no par vigor–fadiga, sem que se abandone o registro das demais dimensões (ROHLFS et al., 2023; TERRY et al., 2021).</w:t>
      </w:r>
    </w:p>
    <w:p>
      <w:pPr>
        <w:spacing w:line="360" w:lineRule="auto" w:after="0"/>
        <w:ind w:firstLine="709"/>
        <w:jc w:val="both"/>
      </w:pPr>
      <w:r>
        <w:rPr>
          <w:b w:val="0"/>
          <w:sz w:val="24"/>
        </w:rPr>
        <w:t>As características do handebol ajudam a explicar esse comportamento. A modalidade impõe esforço intermitente de alta intensidade, com sprints curtos, mudanças de direção, saltos e contato, o que gera elevada demanda neuromuscular e psicofisiológica ao longo da semana e sustenta tanto a tendência de acúmulo quanto a resposta aguda observada entre o pré e o pós-treino (KARCHER; BUCHHEIT, 2014; GARCÍA-SÁNCHEZ et al., 2023). Estudos recentes na modalidade associam a carga a marcadores endócrinos e ao estado de humor e de estresse, o que reforça o valor do acompanhamento subjetivo como um marcador sensível e de baixo custo, complementar ao monitoramento fisiológico e de bem-estar praticado em esportes coletivos (BIRD et al., 2025; RATZ-SULYOK et al., 2026; DO NASCIMENTO et al., 2026).</w:t>
      </w:r>
    </w:p>
    <w:p>
      <w:pPr>
        <w:spacing w:line="360" w:lineRule="auto" w:after="0"/>
        <w:ind w:firstLine="709"/>
        <w:jc w:val="both"/>
      </w:pPr>
      <w:r>
        <w:rPr>
          <w:b w:val="0"/>
          <w:sz w:val="24"/>
        </w:rPr>
        <w:t>O estudo tem limitações, entre as quais a amostra de um único clube, o recorte de um microciclo e a ausência de medidas objetivas de carga neste recorte, o que restringe a generalização e impede inferências de causa. O pequeno número de observações distribuído por seis perfis reduz a potência do teste categórico, e o erro de medida de uma leitura isolada recomenda cautela na interpretação individual, de modo que a inferência se apoia nas tendências de grupo. Ainda assim, a descrição oferece um retrato visual e direto da dinâmica do humor no handebol de elite e sustenta a recomendação prática de acompanhar o eixo energia–fadiga ao longo da semana, integrado a um monitoramento multidomínio do estado do atleta (KELLMANN et al., 2018; OSTAPIUK-KAROLCZUK et al., 2025).</w:t>
      </w:r>
    </w:p>
    <w:p>
      <w:pPr>
        <w:spacing w:before="120" w:after="80" w:line="360" w:lineRule="auto"/>
      </w:pPr>
      <w:r>
        <w:rPr>
          <w:b/>
          <w:sz w:val="24"/>
        </w:rPr>
        <w:t>REFERÊNCIAS</w:t>
      </w:r>
    </w:p>
    <w:p>
      <w:pPr>
        <w:spacing w:line="312" w:lineRule="auto" w:after="80"/>
        <w:jc w:val="both"/>
      </w:pPr>
      <w:r>
        <w:rPr>
          <w:sz w:val="22"/>
        </w:rPr>
        <w:t>BIRD, S. P. et al. Wellness, mood, sleep, and performance in a women’s national basketball team during international competition. Journal of Human Kinetics, v. 96, p. 163–175, 2025. DOI: 10.5114/jhk/200117.</w:t>
      </w:r>
    </w:p>
    <w:p>
      <w:pPr>
        <w:spacing w:line="312" w:lineRule="auto" w:after="80"/>
        <w:jc w:val="both"/>
      </w:pPr>
      <w:r>
        <w:rPr>
          <w:sz w:val="22"/>
        </w:rPr>
        <w:t>DE MIRANDA ROHLFS, I. C. P. et al. Prevalence of specific mood profile clusters among elite and youth athletes at a Brazilian sports club. Sports, v. 12, n. 7, 195, 2024. DOI: 10.3390/sports12070195.</w:t>
      </w:r>
    </w:p>
    <w:p>
      <w:pPr>
        <w:spacing w:line="312" w:lineRule="auto" w:after="80"/>
        <w:jc w:val="both"/>
      </w:pPr>
      <w:r>
        <w:rPr>
          <w:sz w:val="22"/>
        </w:rPr>
        <w:t>DO NASCIMENTO, M. H. et al. Acute psychological responses to official match outcomes in male youth volleyball: an observational repeated-measures study within a single national-level team. Frontiers in Psychology, v. 17, 1826372, 2026. DOI: 10.3389/fpsyg.2026.1826372.</w:t>
      </w:r>
    </w:p>
    <w:p>
      <w:pPr>
        <w:spacing w:line="312" w:lineRule="auto" w:after="80"/>
        <w:jc w:val="both"/>
      </w:pPr>
      <w:r>
        <w:rPr>
          <w:sz w:val="22"/>
        </w:rPr>
        <w:t>FERREIRA, A. B. M. et al. Impact of sleep restriction and intensified training on mucosal immunity and psychological responses in young soccer players. Journal of Strength and Conditioning Research, v. 40, n. 7, p. e703–e713, 2026. DOI: 10.1519/JSC.0000000000005416.</w:t>
      </w:r>
    </w:p>
    <w:p>
      <w:pPr>
        <w:spacing w:line="312" w:lineRule="auto" w:after="80"/>
        <w:jc w:val="both"/>
      </w:pPr>
      <w:r>
        <w:rPr>
          <w:sz w:val="22"/>
        </w:rPr>
        <w:t>GARCÍA-SÁNCHEZ, C. et al. Physical demands during official competitions in elite handball: a systematic review. International Journal of Environmental Research and Public Health, v. 20, n. 4, 3353, 2023. DOI: 10.3390/ijerph20043353.</w:t>
      </w:r>
    </w:p>
    <w:p>
      <w:pPr>
        <w:spacing w:line="312" w:lineRule="auto" w:after="80"/>
        <w:jc w:val="both"/>
      </w:pPr>
      <w:r>
        <w:rPr>
          <w:sz w:val="22"/>
        </w:rPr>
        <w:t>HAN, C.; PARSONS-SMITH, R. L.; TERRY, P. C. Mood profiling in Singapore: cross-cultural validation and potential applications of mood profile clusters. Frontiers in Psychology, v. 11, 665, 2020. DOI: 10.3389/fpsyg.2020.00665.</w:t>
      </w:r>
    </w:p>
    <w:p>
      <w:pPr>
        <w:spacing w:line="312" w:lineRule="auto" w:after="80"/>
        <w:jc w:val="both"/>
      </w:pPr>
      <w:r>
        <w:rPr>
          <w:sz w:val="22"/>
        </w:rPr>
        <w:t>KARCHER, C.; BUCHHEIT, M. On-court demands of elite handball, with special reference to playing positions. Sports Medicine, v. 44, n. 6, p. 797–814, 2014. DOI: 10.1007/s40279-014-0164-z.</w:t>
      </w:r>
    </w:p>
    <w:p>
      <w:pPr>
        <w:spacing w:line="312" w:lineRule="auto" w:after="80"/>
        <w:jc w:val="both"/>
      </w:pPr>
      <w:r>
        <w:rPr>
          <w:sz w:val="22"/>
        </w:rPr>
        <w:t>KELLMANN, M. et al. Recovery and performance in sport: consensus statement. International Journal of Sports Physiology and Performance, v. 13, n. 2, p. 240–245, 2018. DOI: 10.1123/ijspp.2017-0759.</w:t>
      </w:r>
    </w:p>
    <w:p>
      <w:pPr>
        <w:spacing w:line="312" w:lineRule="auto" w:after="80"/>
        <w:jc w:val="both"/>
      </w:pPr>
      <w:r>
        <w:rPr>
          <w:sz w:val="22"/>
        </w:rPr>
        <w:t>LOCHBAUM, M. et al. The Profile of Mood States and athletic performance: a meta-analysis of published studies. European Journal of Investigation in Health, Psychology and Education, v. 11, n. 1, p. 50–70, 2021. DOI: 10.3390/ejihpe11010005.</w:t>
      </w:r>
    </w:p>
    <w:p>
      <w:pPr>
        <w:spacing w:line="312" w:lineRule="auto" w:after="80"/>
        <w:jc w:val="both"/>
      </w:pPr>
      <w:r>
        <w:rPr>
          <w:sz w:val="22"/>
        </w:rPr>
        <w:t>MORGAN, W. P. Selected psychological factors limiting performance: a mental health model. In: CLARKE, D. H.; ECKERT, H. M. (Ed.). Limits of human performance. Champaign: Human Kinetics, 1985. p. 70–80.</w:t>
      </w:r>
    </w:p>
    <w:p>
      <w:pPr>
        <w:spacing w:line="312" w:lineRule="auto" w:after="80"/>
        <w:jc w:val="both"/>
      </w:pPr>
      <w:r>
        <w:rPr>
          <w:sz w:val="22"/>
        </w:rPr>
        <w:t>OSTAPIUK-KAROLCZUK, J. et al. Biochemical and psychological markers of fatigue and recovery in mixed martial arts athletes during strength and conditioning training. Scientific Reports, v. 15, n. 1, 24234, 2025. DOI: 10.1038/s41598-025-09719-z.</w:t>
      </w:r>
    </w:p>
    <w:p>
      <w:pPr>
        <w:spacing w:line="312" w:lineRule="auto" w:after="80"/>
        <w:jc w:val="both"/>
      </w:pPr>
      <w:r>
        <w:rPr>
          <w:sz w:val="22"/>
        </w:rPr>
        <w:t>PARSONS-SMITH, R. L.; TERRY, P. C.; MACHIN, M. A. Identification and description of novel mood profile clusters. Frontiers in Psychology, v. 8, 1958, 2017. DOI: 10.3389/fpsyg.2017.01958.</w:t>
      </w:r>
    </w:p>
    <w:p>
      <w:pPr>
        <w:spacing w:line="312" w:lineRule="auto" w:after="80"/>
        <w:jc w:val="both"/>
      </w:pPr>
      <w:r>
        <w:rPr>
          <w:sz w:val="22"/>
        </w:rPr>
        <w:t>PIERCE, E. F. Relationship between training volume and mood states in competitive swimmers during a 24-week season. Perceptual and Motor Skills, v. 94, n. 3, p. 1009–1012, 2002. DOI: 10.2466/pms.2002.94.3.1009.</w:t>
      </w:r>
    </w:p>
    <w:p>
      <w:pPr>
        <w:spacing w:line="312" w:lineRule="auto" w:after="80"/>
        <w:jc w:val="both"/>
      </w:pPr>
      <w:r>
        <w:rPr>
          <w:sz w:val="22"/>
        </w:rPr>
        <w:t>RATZ-SULYOK, F. Z. et al. Associations between endocrine status and stress, mood and psychosomatic status in elite handball players. Sports, v. 14, n. 7, 289, 2026. DOI: 10.3390/sports14070289.</w:t>
      </w:r>
    </w:p>
    <w:p>
      <w:pPr>
        <w:spacing w:line="312" w:lineRule="auto" w:after="80"/>
        <w:jc w:val="both"/>
      </w:pPr>
      <w:r>
        <w:rPr>
          <w:sz w:val="22"/>
        </w:rPr>
        <w:t>ROETE, A. J. et al. A systematic review on markers of functional overreaching in endurance athletes. International Journal of Sports Physiology and Performance, v. 16, n. 8, p. 1065–1073, 2021. DOI: 10.1123/ijspp.2021-0024.</w:t>
      </w:r>
    </w:p>
    <w:p>
      <w:pPr>
        <w:spacing w:line="312" w:lineRule="auto" w:after="80"/>
        <w:jc w:val="both"/>
      </w:pPr>
      <w:r>
        <w:rPr>
          <w:sz w:val="22"/>
        </w:rPr>
        <w:t>ROHLFS, I. C. P. M. et al. A Escala de Humor de Brunel (Brums): instrumento para detecção precoce da síndrome do excesso de treinamento. Revista Brasileira de Medicina do Esporte, v. 14, n. 3, p. 176–181, 2008.</w:t>
      </w:r>
    </w:p>
    <w:p>
      <w:pPr>
        <w:spacing w:line="312" w:lineRule="auto" w:after="80"/>
        <w:jc w:val="both"/>
      </w:pPr>
      <w:r>
        <w:rPr>
          <w:sz w:val="22"/>
        </w:rPr>
        <w:t>ROHLFS, I. C. P. M. et al. Psychometric characteristics of the Brazil Mood Scale among youth and elite athletes using two response time frames. Sports, v. 11, n. 12, 244, 2023. DOI: 10.3390/sports11120244.</w:t>
      </w:r>
    </w:p>
    <w:p>
      <w:pPr>
        <w:spacing w:line="312" w:lineRule="auto" w:after="80"/>
        <w:jc w:val="both"/>
      </w:pPr>
      <w:r>
        <w:rPr>
          <w:sz w:val="22"/>
        </w:rPr>
        <w:t>SAW, A. E.; MAIN, L. C.; GASTIN, P. B. Monitoring the athlete training response: subjective self-reported measures trump commonly used objective measures: a systematic review. British Journal of Sports Medicine, v. 50, n. 5, p. 281–291, 2016. DOI: 10.1136/bjsports-2015-094758.</w:t>
      </w:r>
    </w:p>
    <w:p>
      <w:pPr>
        <w:spacing w:line="312" w:lineRule="auto" w:after="80"/>
        <w:jc w:val="both"/>
      </w:pPr>
      <w:r>
        <w:rPr>
          <w:sz w:val="22"/>
        </w:rPr>
        <w:t>TERRY, P. C.; LANE, A. M.; FOGARTY, G. J. Construct validity of the Profile of Mood States, Adolescents for use with adults. Psychology of Sport and Exercise, v. 4, n. 2, p. 125–139, 2003. DOI: 10.1016/S1469-0292(02)00035-8.</w:t>
      </w:r>
    </w:p>
    <w:p>
      <w:pPr>
        <w:spacing w:line="312" w:lineRule="auto" w:after="80"/>
        <w:jc w:val="both"/>
      </w:pPr>
      <w:r>
        <w:rPr>
          <w:sz w:val="22"/>
        </w:rPr>
        <w:t>TERRY, P. C. et al. Mood profiling for sustainable mental health among athletes. Sustainability, v. 13, n. 11, 6116, 2021. DOI: 10.3390/su13116116.</w:t>
      </w:r>
    </w:p>
    <w:p>
      <w:pPr>
        <w:spacing w:line="312" w:lineRule="auto" w:after="80"/>
        <w:jc w:val="both"/>
      </w:pPr>
      <w:r>
        <w:rPr>
          <w:sz w:val="22"/>
        </w:rPr>
        <w:t>THORPE, R. T. et al. Monitoring fatigue status in elite team-sport athletes: implications for practice. International Journal of Sports Physiology and Performance, v. 12, n. S2, p. S227–S234, 2017. DOI: 10.1123/ijspp.2016-0434.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