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caracterizar e analisar o perfil de humor de atletas de handebol de elite ao longo da última semana de pré-temporada, comparando cada dimensão do BRUMS entre todos os dias e identificando os dias de maior e menor expressão de cada estado de humor, com a aptidão aeróbia intermitente como parâmetro fisiológico.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ao longo de sete dias (uma coleta de linha de base no primeiro dia e duas coletas diárias — pré e pós-treino — nos seis dias de treino), totalizando 286 observações. Empregaram-se estatística descritiva, Shapiro-Wilk, Wilcoxon com tamanho de efeito, Friedman com W de Kendall, pós-teste (Tukey), ICC, MANOVA em escores T e regressão do pico de velocidade do T-CAR, com limiar por índice de Youden.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concentrou-se no eixo energia–fadiga — o vigor caiu (d = -1,33) e a fadiga subiu (d = +0,78), confirmado por MANOVA (Wilks λ = 0,181; p &lt; 0,001). O vigor foi máximo no Dia 1 e a fadiga no Dia 7. Os seis perfis de humor descritos por Terry e Parsons-Smith (iceberg, iceberg invertido, submerso, superfície, Everest invertido e barbatana de tubarão) estiveram representados, e a prevalência deslocou-se do perfil iceberg (48% no baseline) para a barbatana de tubarão (22% no Dia 7), sem instalação dos perfis de maior risco à saúde mental (Everest invertido, submerso e iceberg invertido), embora a diferença categórica não tenha alcançado significância (χ² = 8,96; p = 0,111). Maior aptidão associou-se a menos fadiga (ρ = -0,51), com limiar de 14,9 km/h. A sonolência (Epworth) elevou-se ao longo da semana e associou-se a mais fadiga e pior humor, enquanto o estresse percebido (PSS-14) manteve-se estável, indicando que a resposta afetiva foi específica da carga de treino.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o humor migrou da prontidão (perfil iceberg) para a fadiga funcional (perfil barbatana de tubarão); o vigor e a fadiga foram as dimensões mais sensíveis, e a aptidão intermitente ajudou a explicar a resposta, fundamentando o monitoramento individualizado.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aptidão intermitente.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rendimento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esportivo (SAW; MAIN; GASTIN, 2016; LOCHBAUM et al., 2021), razão pela qual documentos de consenso recomendam seu uso rotineiro para monitorar a fadiga e orientar decisões de treino e recuperação (KELLMANN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Escala de Humor de Brunel (BRUMS), versão abreviada e adaptada do Profile of Mood States (POMS), destaca-se pela rapidez de aplicação e pela solidez psicométrica, com sucessivas validações transculturais, incluindo a versão brasileira (BRAMS) (TERRY; LANE; FOGARTY, 2003; ROHLFS et al., 2008, 2023). Sua aplicação tem-se mostrado particularmente informativa em modalidades esportivas coletivas e no esporte de rendimento, contextos de elevada demanda física, emocional e interpessoal: a BRUMS vem sendo empregada para monitorar o humor de atletas de elite ao longo de períodos competitivos e sua relação com o sono, o desempenho, os resultados de partida e o risco de lesão (ANDRADE et al., 2016; BRANDT; BEVILACQUA; ANDRADE, 2017; ANDRADE et al., 2020; DE MIRANDA ROHLFS et al., 2025; DO NASCIMENTO et al., 2026), consolidando-se como um indicador de baixo custo e alta sensibilidade para a triagem do bem-estar psicológico e do risco de saúde mental em contextos de rendimento.</w:t>
      </w:r>
    </w:p>
    <w:p>
      <w:pPr>
        <w:spacing w:before="120" w:after="80" w:line="360" w:lineRule="auto"/>
      </w:pPr>
      <w:r>
        <w:rPr>
          <w:b/>
          <w:sz w:val="24"/>
        </w:rPr>
        <w:t>1.2 Perfis de humor e sua aplicação em atletas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 de cada subescala, a leitura do humor evoluiu para a identificação de perfis prototípicos. Morgan (1985) descreveu o clássico “perfil iceberg” — vigor elevado sobre dimensões negativas baixas — como assinatura de prontidão e de saúde mental positiva. Mais recentemente, análises de agrupamento (cluster) em grandes amostras formalizaram seis perfis de humor — iceberg, superfície, submerso, barbatana de tubarão, iceberg invertido e Everest invertido —, dos quais os três últimos se associam a maior risco à saúde mental e à subperformance (PARSONS-SMITH; TERRY; MACHIN, 2017; HAN; PARSONS-SMITH; TERRY, 2020). Esses perfis vêm sendo replicados em diferentes culturas e aplicados ao rastreamento da prontidão e do bem-estar de atletas de elite, inclusive no contexto brasileiro: em uma grande amostra de um clube de rendimento do Rio de Janeiro (898 atletas), o perfil iceberg foi o mais prevalente em avaliação momentânea, ao passo que os perfis de risco foram os menos frequentes (DE MIRANDA ROHLFS et al., 2024). A abordagem por perfis oferece uma leitura integrada e visual do estado psicológico, sensível às variações de carga e útil para identificar precocemente atletas em deterioração, com valor documentado para a saúde mental sustentável e para desfechos como lesão (TERRY et al., 2021; DE MIRANDA ROHLFS et al., 2025).</w:t>
      </w:r>
    </w:p>
    <w:p>
      <w:pPr>
        <w:spacing w:before="120" w:after="80" w:line="360" w:lineRule="auto"/>
      </w:pPr>
      <w:r>
        <w:rPr>
          <w:b/>
          <w:sz w:val="24"/>
        </w:rPr>
        <w:t>1.3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invasão, de caráter marcadamente intermitente e de alta intensidade. Ao longo da partida, ações máximas e explosivas — sprints curtos, saltos, arremessos, bloqueios, mudanças de direção e contatos físicos — alternam-se, de forma imprevisível, com períodos de recuperação incompleta, exigindo simultaneamente potência anaeróbia, capacidade aeróbia intermitente e elevada tolerância à fadiga (KARCHER; BUCHHEIT, 2014; MICHALSIK; AAGAARD, 2015; WAGNER et al., 2014). É justamente a aptidão aeróbia que sustenta a capacidade de repetir e manter esforços de alta intensidade ao longo de uma partida: uma maior potência aeróbia acelera a ressíntese de fosfocreatina e a remoção de metabólitos nas pausas incompletas, atenua a queda de desempenho entre ações sucessivas e retarda a instalação da fadiga, preservando a qualidade das ações decisivas nos minutos finais (KARCHER; BUCHHEIT, 2014; MICHALSIK; AAGAARD, 2015). Por atuar sobre a recuperação entre esforços, e não apenas sobre a intensidade máxima isolada, a aptidão aeróbia intermitente é determinante da capacidade de sustentar altas intensidades no jogo intermitente. Avaliá-la, contudo, exige um teste que reproduza esse mesmo padrão de esforço e pausa: é o que faz o Teste de Carminatti (T-CAR), teste de campo progressivo e intermitente cujo pico de velocidade (PV) reflete a capacidade aeróbia intermitente e se associa ao desempenho físico e à aptidão em modalidades dessa natureza (FERNANDES-DA-SILVA et al., 2016). Esse padrão de esforço eleva a carga interna nos microciclos de acúmulo e repercute no estado afetivo, sobretudo na última semana de pré-temporada, quando a carga que antecede a competição se concentra. Como a tolerância a essa carga depende da aptidão aeróbia intermitente, é plausível que o PV do T-CAR module a magnitude da resposta de humor ao acúmulo de treino — hipótese que este estudo examina.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Diante da ampla adoção da BRUMS, mas da escassez de descrições detalhadas do comportamento do humor em um microciclo pré-competitivo de handebol de elite, o objetivo geral foi caracterizar e analisar o perfil de humor desses atletas ao longo da última semana de pré-temporada, descrevendo o comportamento de cada dimensão do BRUMS, comparando todos os dias entre si, identificando os dias de maior e menor expressão de cada estado de humor e relacionando a resposta à aptidão aeróbia intermitente. Especificamente, buscou-se: (i) caracterizar a amostra; (ii) verificar a normalidade; (iii) descrever a resposta aguda pré → pós com tamanho de efeito; (iv) comparar as dimensões entre todos os dias; (v) confirmar as diferenças por análise multivariada (escores T); (vi) descrever o comportamento individual de cada variável e suas relações; (vii) identificar os dias de maior fadiga, vigor, tensão, raiva e depressão; (viii) classificar a evolução dos perfis de humor; (ix) analisar o T-CAR e o limiar de pico de velocidade; e (x) caracterizar a sonolência e o estresse percebido e sua relação com o humor. Hipotetizou-se que a deterioração se concentraria no eixo energia–fadiga, com migração do perfil iceberg para o de fadiga, e que a aptidão intermitente modularia a resposta.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de treinamento durante o microciclo pré-competitivo (21 a 27 de abril de 2024), com 27 atletas de handebol do sexo masculino de nível competitivo, conforme os princípios éticos da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2.2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 24 itens em escala de 0 (“nada”) a 4 (“extremamente”), agrupados em seis subescalas de 0 a 16 pontos (tensão, depressão, raiva, vigor, fadiga e confusão); a Perturbação Total do Humor (PTH) resume o perfil (soma das negativas menos o vigor). Para a classificação de perfis e a análise multivariada, os escores foram convertidos em escores T (M = 50; DP = 10). A aptidão aeróbia intermitente foi avaliada pelo Teste de Carminatti (T-CAR), teste de campo progressivo e intermitente (repetições de 12 s de corrida em vaivém intercaladas por 6 s de recuperação, até a exaustão), tendo o pico de velocidade (PV) como desfecho (FERNANDES-DA-SILVA et al., 2016). A estrutura de esforço e pausa do T-CAR reproduz o padrão intermitente das ações do handebol, de modo que o PV expressa a capacidade aeróbia de sustentar e repetir esforços de alta intensidade — e não apenas a intensidade máxima isolada —, o que o qualifica como marcador fisiológico específico para esta amostra. O T-CAR foi aplicado em 15 de abril de 2024, quatro dias de treino antes do início do microciclo, de modo a servir como parâmetro fisiológico de linha de base das análises. No mesmo diário eletrônico, registraram-se ainda a sonolência, pela Escala de Sonolência de Epworth em versão de 6 itens (probabilidade de cochilar em seis situações; 0–18), e o estresse percebido, pela Escala de Estresse Percebido de 14 itens (PSS-14; 0–56, com sete itens de pontuação invertida), tomados como marcadores de recuperação e de carga psicossocial. A composição corporal foi avaliada por antropometria (massa e estatura) e por dobras cutâneas (percentual de gordura), servindo à caracterização da amostra e ao ajuste alométrico do desempenho no T-CAR.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ao longo de sete dias consecutivos (21 a 27 de abril de 2024). A data e o horário de cada resposta foram definidos pelo carimbo automático de registro do formulário — e não pela data informada pelo respondente —, garantindo a alocação correta de cada observação ao dia e ao momento de coleta. O primeiro dia (21/04) constituiu a avaliação de linha de base (baseline), com uma única coleta por atleta; nos seis dias de treino subsequentes (22 a 27/04) previram-se duas coletas diárias — uma ao início (pré) e outra ao final (pós) do treino. Em cada dia de treino, a primeira resposta de cada atleta foi tomada como pré e a última como pós. Por se tratar de registro em condições ecológicas, houve adesão irregular: nem todos os atletas responderam em todos os dias ou nas duas janelas, e eventuais respostas repetidas dentro de uma mesma janela foram reduzidas a um único valor (a primeira, no baseline; a primeira e a última, como pré e pós, nos dias de treino). Após essa padronização e a exclusão de um registro isolado fora da janela (29/04), o conjunto analítico totalizou 286 observações válidas dos 27 atletas (uma no baseline e até duas por dia de treino).</w:t>
      </w:r>
    </w:p>
    <w:p>
      <w:pPr>
        <w:spacing w:before="120" w:after="80" w:line="360" w:lineRule="auto"/>
      </w:pPr>
      <w:r>
        <w:rPr>
          <w:b/>
          <w:sz w:val="24"/>
        </w:rPr>
        <w:t>2.4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seguiu uma sequência do descritivo ao inferencial. Inicialmente, empregou-se estatística descritiva (média, desvio-padrão, mediana e amplitude) para caracterizar as variáveis, e o teste de Shapiro-Wilk para verificar a normalidade — etapa que orienta a escolha entre testes paramétricos e não paramétricos. Como as distribuições violaram a normalidade, com forte concentração de escores baixos nas dimensões negativas (efeito de piso), os dados não foram transformados (NEVILL; LANE, 2007) e privilegiaram-se testes não paramétricos.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descrever a resposta aguda ao treino, os momentos pré e pós foram comparados pelo teste de Wilcoxon para amostras pareadas, acompanhado do tamanho de efeito (d de Cohen), que expressa a magnitude da diferença independentemente do tamanho da amostra (trivial &lt; 0,2; pequeno &lt; 0,5; médio &lt; 0,8; grande ≥ 0,8); a mesma lógica aplicou-se à comparação entre o primeiro e o último dia. Para verificar se cada dimensão variou ao longo dos sete dias, utilizou-se o teste de Friedman — equivalente não paramétrico da ANOVA de medidas repetidas —, com o W de Kendall como tamanho de efeito (0,1 pequeno; 0,3 moderado; 0,5 grande); quando significativo, aplicou-se o pós-teste das médias marginais de um modelo misto (correção de Tukey), que identifica entre quais dias, especificamente, houve diferença. A consistência das medidas repetidas ao longo da semana foi estimada pelo coeficiente de correlação intraclasse (ICC), interpretado como pobre (&lt; 0,50), moderado (0,50–0,75), bom (0,75–0,90) ou excelente (&gt; 0,90).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confirmação robusta, as comparações Dia 1 → Dia 7 e pré → pós foram reanalisadas por análise multivariada de variância (MANOVA) de medidas repetidas sobre os escores T, que testa as seis dimensões em conjunto e controla o erro de múltiplas comparações (lambda de Wilks, F e eta-quadrado parcial — η²ₚ; 0,01 pequeno; 0,06 médio; 0,14 grande); nos testes univariados de acompanhamento da MANOVA, aplicou-se o ajuste de Bonferroni ao nível de significância, dividindo 0,05 pelas seis dimensões (α = 0,008), para controlar o erro do tipo I. A associação entre as dimensões foi quantificada pela correlação de Spearman (ρ). Por fim, a relação entre o pico de velocidade do T-CAR e a fadiga foi analisada por regressão, e um limiar de pico de velocidade foi estabelecido pelo índice de Youden — que maximiza a soma de sensibilidade e especificidade —, com a qualidade de discriminação avaliada pela área sob a curva ROC. Para separar o efeito da aptidão do efeito do tamanho corporal, o pico de velocidade foi ainda submetido a ajuste alométrico: estimou-se o expoente da relação alométrica pela regressão log(PV)–log(massa) e normalizou-se o PV pela massa elevada a esse expoente, comparando-se as associações do PV bruto e do PV normalizado com a fadiga e o vigor. A dinâmica temporal foi ainda modelada ajustando-se uma função polinomial às médias diárias de cada dimensão, da qual se obtiveram, por derivação, a taxa de variação instantânea (derivada primeira), os pontos críticos (máximos e mínimos) e o ponto de inflexão (raiz da derivada segunda). Adotou-se nível de significância de 5% (p &lt; 0,05), com as análises conduzidas em ambiente Python (bibliotecas pandas, NumPy,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Caracterização da amostra</w:t>
      </w:r>
    </w:p>
    <w:p>
      <w:pPr>
        <w:spacing w:before="160" w:after="40"/>
      </w:pPr>
      <w:r>
        <w:rPr>
          <w:sz w:val="22"/>
        </w:rPr>
        <w:t>Tabela 1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2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do sexo masculino (idade 22,0 ± 3,8 anos; estatura 182,5 ± 6,5 cm; massa corporal 85,8 ± 15,7 kg), distribuídos entre as posições de jogo (Tabela 1) e com caracterização sociodemográfica e antropométrica compatível com a de handebolistas de nível competitivo (Tabela 2).</w:t>
      </w:r>
    </w:p>
    <w:p>
      <w:pPr>
        <w:spacing w:before="120" w:after="80" w:line="360" w:lineRule="auto"/>
      </w:pPr>
      <w:r>
        <w:rPr>
          <w:b/>
          <w:sz w:val="24"/>
        </w:rPr>
        <w:t>3.2 Normalidade das distribuições</w:t>
      </w:r>
    </w:p>
    <w:p>
      <w:pPr>
        <w:spacing w:before="160" w:after="40"/>
      </w:pPr>
      <w:r>
        <w:rPr>
          <w:sz w:val="22"/>
        </w:rPr>
        <w:t>Tabela 3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0,776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0,468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3), justificando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3.3 Estatística descritiva das dimensões</w:t>
      </w:r>
    </w:p>
    <w:p>
      <w:pPr>
        <w:spacing w:before="160" w:after="40"/>
      </w:pPr>
      <w:r>
        <w:rPr>
          <w:sz w:val="22"/>
        </w:rPr>
        <w:t>Tabela 4 – Estatística descritiva das dimensões do BRUMS e da PTH (286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4: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3.4 Diferenças entre pré e pós-treino (com tamanho de efeito)</w:t>
      </w:r>
    </w:p>
    <w:p>
      <w:pPr>
        <w:spacing w:before="160" w:after="40"/>
      </w:pPr>
      <w:r>
        <w:rPr>
          <w:sz w:val="22"/>
        </w:rPr>
        <w:t>Tabela 5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5): o vigor caiu (14%; d = -0,47)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3.5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289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2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6 – Médias diárias das dimensões do BRUMS e teste de Friedman com W de Kendall (variação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 de Kendall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0,007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0,032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0,025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0,751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0,247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diárias, o teste de Friedman e o W de Kendall constam na Tabela 6 (Figuras 1 e 2): houve diferença significativa entre os dias para o vigor (p &lt; 0,001; W = 0,21), a fadiga (p = 0,007; W = 0,16), a tensão (p = 0,025) e a confusão (p &lt; 0,001), sempre com magnitude pequena a moderada, coerente com um microciclo de acúmulo dentro da faixa funcional.</w:t>
      </w:r>
    </w:p>
    <w:p>
      <w:pPr>
        <w:spacing w:before="160" w:after="40"/>
      </w:pPr>
      <w:r>
        <w:rPr>
          <w:sz w:val="22"/>
        </w:rPr>
        <w:t>Tabela 7 – Consistência das medidas repetidas ao longo da semana (coeficiente de correlação intraclasse, ICC).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consistência das medidas repetidas (Tabela 7) foi moderada a boa, sendo mais baixa para a raiva e a confusão — dimensões mais reativas dia a dia.</w:t>
      </w:r>
    </w:p>
    <w:p>
      <w:pPr>
        <w:spacing w:before="160" w:after="40"/>
      </w:pPr>
      <w:r>
        <w:rPr>
          <w:sz w:val="22"/>
        </w:rPr>
        <w:t>Tabela 8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3,59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5,44*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7,55*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Comparando todos os dias entre si (pós-teste de Tukey; Tabela 8; Figura 3), o vigor diferiu significativamente em 9 dos 21 pares de dias e a fadiga em 6 — sempre no sentido de piora em relação aos primeiros dias —, confirmando a deterioração progressiva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3.6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9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0,275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0,317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52,0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0,678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58,3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37,14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12,73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0,002*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0,252</w:t>
            </w:r>
          </w:p>
        </w:tc>
      </w:tr>
    </w:tbl>
    <w:p>
      <w:pPr>
        <w:spacing w:after="0"/>
      </w:pPr>
      <w:r>
        <w:rPr>
          <w:i/>
          <w:sz w:val="17"/>
        </w:rPr>
        <w:t>Wilks λ = 0,181; F(6,15) = 11,32; p &lt; 0,001; η²ₚ = 0,82. * p &lt; 0,008 (α ajustado por Bonferroni para as seis dimensões).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0,181; F(6,15) = 11,32; p &lt; 0,001; η²ₚ = 0,82). Nos testes univariados com o critério corrigido de Bonferroni (α = 0,008), apenas o vigor (d = -1,33) e a fadiga (d = +0,78) permaneceram significativos — evidenciando que o efeito se concentra no eixo energia–fadiga —, enquanto a tensão (p = 0,012) e a confusão (p = 0,017), significativas apenas sob α = 0,05, não resistiram à correção (Tabela 9; Figura 4). A resposta aguda pré → pós também foi multivariadamente significativa (Wilks λ = 0,539; p = 0,028), reforçando o achado.</w:t>
      </w:r>
    </w:p>
    <w:p>
      <w:pPr>
        <w:spacing w:before="120" w:after="80" w:line="360" w:lineRule="auto"/>
      </w:pPr>
      <w:r>
        <w:rPr>
          <w:b/>
          <w:sz w:val="24"/>
        </w:rPr>
        <w:t>3.7 Dias de maior expressão de cada estado de humor</w:t>
      </w:r>
    </w:p>
    <w:p>
      <w:pPr>
        <w:spacing w:before="160" w:after="40"/>
      </w:pPr>
      <w:r>
        <w:rPr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10 sintetiza os dias de pico: o vigor foi máximo no Dia 1 e mínimo no Dia 7; a fadiga foi máxima no Dia 7; a tensão, máxima no Dia 1; a raiva, máxima no Dia 7; e a depressão, máxima no Dia 7. Em síntese, o início da semana reúne maior prontidão (vigor, tensão e confusão mais altos) e o final concentra a fadiga e a raiva.</w:t>
      </w:r>
    </w:p>
    <w:p>
      <w:pPr>
        <w:spacing w:before="120" w:after="80" w:line="360" w:lineRule="auto"/>
      </w:pPr>
      <w:r>
        <w:rPr>
          <w:b/>
          <w:sz w:val="24"/>
        </w:rPr>
        <w:t>3.8 Comportamento individual de cada variável e suas relações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Figuras 5 a 10 apresentam, para cada dimensão, o comportamento ao longo da semana com a média diária, a banda de confiança de 95% (área sombreada), os diagramas de caixa por dia e o efeito do microciclo, permitindo visualizar individualmente como cada estado de humor evolui. Nessas figuras, o efeito Dia 1 → Dia 7 é expresso pelo dz (mudança padronizada intraindividual), numericamente idêntico ao d relatado na análise multivariada (Tabela 9), e o valor de p é o do teste de Friedman apresentado na Tabela 6.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Vigor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Fadiga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Tensão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Depressão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Raiva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Confusão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11 – Correlação de Spearman entre as dimensões do BRUMS com associação significativa (n = 27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0,027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Quanto às relações entre as dimensões (Tabela 11), as dimensões negativas associam-se entre si e a fadiga relaciona-se com a depressão e a raiva; o vigor mantém-se relativamente independente. Esse acoplamento depende da carga: no dia de maior vigor a depressão é independente da fadiga (ρ = +0,38), mas no dia de maior fadiga torna-se forte (ρ = +0,76).</w:t>
      </w:r>
    </w:p>
    <w:p>
      <w:pPr>
        <w:spacing w:before="120" w:after="80" w:line="360" w:lineRule="auto"/>
      </w:pPr>
      <w:r>
        <w:rPr>
          <w:b/>
          <w:sz w:val="24"/>
        </w:rPr>
        <w:t>3.9 Classificação dos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classificação de cada observação em um dos seis perfis de humor oferece uma leitura integrada e visual do estado psicológico da equipe. Ao longo do microciclo, os seis perfis estiveram representados na amostra, com reorganização de prevalência entre o baseline e o último dia de treino.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535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3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Distribuição (%) dos seis perfis de humor no baseline (Dia 1)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Distribuição dos perfis de humor no baseline e no último dia de treino: n (%).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Baseline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prevalência deslocou-se do iceberg (48% no baseline) para a barbatana de tubarão (22% no Dia 7), com o iceberg recuando para 22% (Figura 11; Tabela 12). Essa reorganização categórica, contudo, não alcançou significância estatística (χ² = 8,96; p = 0,111) — resultado esperado dado o pequeno número de observações distribuído por seis perfis, que reduz a contagem esperada por célula e a potência do teste qui-quadrado; a mudança é, portanto, uma tendência descritiva, coerente com a queda multivariada do vigor e a elevação da 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396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3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Perfis de humor (clusters) identificados na amostra, representados em escores T (M = 50; DP = 10) nas seis dimensões; percentuais entre parênteses.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forma de cada cluster identificado na amostra (Figura 12) reproduz a taxonomia consagrada dos seis perfis de humor (PARSONS-SMITH; TERRY; MACHIN, 2017): o iceberg, com vigor elevado sobre dimensões negativas baixas; a barbatana de tubarão, com pico isolado de fadiga; o submerso, com todas as dimensões abaixo da média; e o Everest invertido, com todas as negativas elevadas. Comparada à distribuição de referência de uma grande amostra do mesmo contexto brasileiro (898 atletas de elite e de base; DE MIRANDA ROHLFS et al., 2024) — na qual, em avaliação momentânea, o iceberg foi o perfil mais prevalente (34,3%) e os perfis de risco os menos prevalentes (barbatana de tubarão 11,6%; iceberg invertido 6,2%; Everest invertido 2,7%) —, a nossa amostra parte de um predomínio de iceberg semelhante no Dia 1 (48%), mas, ao final do microciclo, eleva marcadamente a barbatana de tubarão (22% no Dia 7), muito acima do patamar de referência. Isso evidencia o efeito específico do acúmulo de carga da última semana de pré-temporada sobre o perfil de fadiga, sem instalação relevante dos perfis de maior risco à saúde mental (Everest invertido e submerso).</w:t>
      </w:r>
    </w:p>
    <w:p>
      <w:pPr>
        <w:spacing w:before="120" w:after="80" w:line="360" w:lineRule="auto"/>
      </w:pPr>
      <w:r>
        <w:rPr>
          <w:b/>
          <w:sz w:val="24"/>
        </w:rPr>
        <w:t>3.10 Aptidão intermitente (T-CAR) e limiar de pico de velocidade</w:t>
      </w:r>
    </w:p>
    <w:p>
      <w:pPr>
        <w:spacing w:before="160" w:after="40"/>
      </w:pPr>
      <w:r>
        <w:rPr>
          <w:sz w:val="22"/>
        </w:rPr>
        <w:t>Tabela 13 – Estatística descritiva do desempenho no Teste de Carminatti (T-CAR).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Parâmetro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Pico de velocidade — T-CAR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13,2–17,5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Distância percorrida (m)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3329,3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758,9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2070,0–5360,7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Repetições completadas (n)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45,0–86,0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máxima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198,5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190,0–209,0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de pico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174,0–191,3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média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178,7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168,9–186,8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Recuperação da FC em 1 min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27,2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19,7–37,3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Impulso de treino – TRIMP (u.a.)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111,8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100,2–121,8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Percepção subjetiva de esforço (0–10)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5,1–8,4</w:t>
            </w:r>
          </w:p>
        </w:tc>
      </w:tr>
    </w:tbl>
    <w:p>
      <w:pPr>
        <w:spacing w:after="0"/>
      </w:pPr>
      <w:r>
        <w:rPr>
          <w:i/>
          <w:sz w:val="17"/>
        </w:rPr>
        <w:t>PV = pico de velocidade; FC = frequência cardíaca;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13 – Dispersão e reta de regressão (com banda de IC95%) entre o pico de velocidade do T-CAR e as médias semanais de vigor, fadiga, PTH e fadiga física.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desempenho no T-CAR consta na Tabela 13. A regressão mostrou que atletas com maior pico de velocidade reportaram menos fadiga física (ρ = -0,51; p = 0,008) e mais vigor (ρ = +0,47; p = 0,017) ao longo da semana (Figura 13). A partir de um modelo que estima a probabilidade de um dia de fadiga elevada em função do pico de velocidade, identificou-se um limiar de aproximadamente 14,9 km/h (área sob a curva = 0,67; sensibilidade = 0,77; especificidade = 0,58): abaixo desse valor, os atletas apresentaram maior probabilidade de dias de fadiga elevada, o que fornece uma referência objetiva para individualizar a carga.</w:t>
      </w:r>
    </w:p>
    <w:p>
      <w:pPr>
        <w:spacing w:before="120" w:after="80" w:line="360" w:lineRule="auto"/>
      </w:pPr>
      <w:r>
        <w:rPr>
          <w:b/>
          <w:sz w:val="24"/>
        </w:rPr>
        <w:t>3.11 Sonolência (Epworth) e estresse percebido (PSS-14)</w:t>
      </w:r>
    </w:p>
    <w:p>
      <w:pPr>
        <w:spacing w:before="160" w:after="40"/>
      </w:pPr>
      <w:r>
        <w:rPr>
          <w:sz w:val="22"/>
        </w:rPr>
        <w:t>Tabela 14 – Sonolência (Epworth, 6 itens, 0–18) e estresse percebido (PSS-14, 0–56) no microciclo: descritivos por observação e por atleta, e variação entre os dias.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(obs.)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 (mín–máx)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(atleta)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Friedman p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Sonolência (Epworth)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9,9 ± 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(0–18)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9,5 ± 4,4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Estresse (PSS-14)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 (9–40)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0,677</w:t>
            </w:r>
          </w:p>
        </w:tc>
      </w:tr>
    </w:tbl>
    <w:p>
      <w:pPr>
        <w:spacing w:after="0"/>
      </w:pPr>
      <w:r>
        <w:rPr>
          <w:i/>
          <w:sz w:val="17"/>
        </w:rPr>
        <w:t>Friedman: teste da variação entre os sete dias. Epworth em versão de 6 itens (sem ponto de corte clínico padrão).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32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o_traj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14 – Trajetória diária (média ± IC95%) da sonolência (Epworth) e do estresse percebido (PSS-14) ao longo do microciclo.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percebido, coletados no mesmo diário, tiveram comportamentos distintos ao longo do microciclo (Tabela 14; Figura 14). A sonolência (Epworth) elevou-se progressivamente do primeiro ao último dia (Friedman p = 0,027; W = 0,13), padrão compatível com o acúmulo de fadiga e de débito de sono ao fim da semana de carga. No plano interindividual (média semanal por atleta), atletas mais sonolentos reportaram mais fadiga (ρ = +0,52; p = 0,005) e pior humor global (PTH; ρ = +0,54; p = 0,004), o que posiciona a sonolência como um marcador de recuperação que acompanha a resposta afetiva à carga. O estresse percebido (PSS-14), ao contrário, manteve-se estável entre os dias (Friedman p = 0,677) e em patamar moderado, sem associação significativa com o vigor (ρ = -0,09; p = 0,643) ou com a fadiga (ρ = -0,15; p = 0,466); nenhuma das duas variáveis diferiu entre pré e pós-treino (Epworth p = 0,788; PSS p = 0,882), coerente com a natureza mais estável desses instrumentos. A estabilidade do estresse indica que a deterioração do humor no eixo energia–fadiga foi específica da carga de treino, e não reflexo de um aumento concomitante do estresse percebido.</w:t>
      </w:r>
    </w:p>
    <w:p>
      <w:pPr>
        <w:spacing w:before="120" w:after="80" w:line="360" w:lineRule="auto"/>
      </w:pPr>
      <w:r>
        <w:rPr>
          <w:b/>
          <w:sz w:val="24"/>
        </w:rPr>
        <w:t>3.12 Composição corporal e ajuste alométrico do pico de velocidade</w:t>
      </w:r>
    </w:p>
    <w:p>
      <w:pPr>
        <w:spacing w:before="160" w:after="40"/>
      </w:pPr>
      <w:r>
        <w:rPr>
          <w:sz w:val="22"/>
        </w:rPr>
        <w:t>Tabela 15 – Composição corporal da amostra (n = 25) e associação com a fadiga.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Amplitude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 ± 15,7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 kg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 ± 6,5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 cm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Gordura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 ± 5,3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5,0–25,0 %</w:t>
            </w:r>
          </w:p>
        </w:tc>
      </w:tr>
    </w:tbl>
    <w:p>
      <w:pPr>
        <w:spacing w:after="0"/>
      </w:pPr>
      <w:r>
        <w:rPr>
          <w:i/>
          <w:sz w:val="17"/>
        </w:rPr>
        <w:t>Massa e estatura por antropometria; gordura corporal por dobras cutâneas.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caracterização da composição corporal (Tabela 15) mostrou massa de 85,8 kg e gordura corporal de 11,6%. Nem a massa (ρ = +0,32 com a fadiga física; p = 0,113) nem o percentual de gordura (ρ = +0,33; p = 0,113) associaram-se significativamente à fadiga, embora com tendência positiva. Como o pico de velocidade do T-CAR depende do porte corporal, examinou-se sua escala alométrica: o expoente da relação log(PV)–log(massa) foi de -0,19 (r = -0,48; p = 0,016), confirmando que atletas mais pesados atingem menor PV. Ao normalizar o PV pela massa elevada a esse expoente (PV·massa^0,19), a associação com o vigor manteve-se praticamente inalterada (ρ = +0,49; p = 0,012), ao passo que a associação com a fadiga física atenuou-se e perdeu significância (de ρ = -0,51 para ρ = -0,36; p = 0,082). Ou seja, o vínculo entre aptidão e vigor é um efeito genuíno de capacidade aeróbia, independente do tamanho corporal, enquanto parte da relação entre aptidão e fadiga física é atribuível ao porte do atleta.</w:t>
      </w:r>
    </w:p>
    <w:p>
      <w:pPr>
        <w:spacing w:before="120" w:after="80" w:line="360" w:lineRule="auto"/>
      </w:pPr>
      <w:r>
        <w:rPr>
          <w:b/>
          <w:sz w:val="24"/>
        </w:rPr>
        <w:t>3.13 Modelagem polinomial das trajetórias: derivadas e taxa de variação</w:t>
      </w:r>
    </w:p>
    <w:p>
      <w:pPr>
        <w:spacing w:before="160" w:after="40"/>
      </w:pPr>
      <w:r>
        <w:rPr>
          <w:sz w:val="22"/>
        </w:rPr>
        <w:t>Tabela 16 – Modelagem polinomial (grau 3) das médias diárias do eixo energia–fadiga: qualidade do ajuste (R²), taxa de variação média (pontos/dia), taxa instantânea nas bordas (P′ no Dia 1 e no Dia 7) e ponto de inflexão.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R²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Taxa média/dia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P′(Dia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P′(Dia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Inflexão (dia)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0,96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-0,64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-3,52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-2,40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0,95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+0,64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+2,23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+2,11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+1,28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+5,10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+6,41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3,9</w:t>
            </w:r>
          </w:p>
        </w:tc>
      </w:tr>
    </w:tbl>
    <w:p>
      <w:pPr>
        <w:spacing w:after="0"/>
      </w:pPr>
      <w:r>
        <w:rPr>
          <w:i/>
          <w:sz w:val="17"/>
        </w:rPr>
        <w:t>P′ = derivada primeira (taxa de variação instantânea); inflexão = raiz da derivada segunda (P″ = 0) no intervalo. As dimensões negativas, com forte efeito de piso e ajuste fraco, foram omitidas.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pol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15 – Ajuste polinomial P(t) das médias diárias de vigor e fadiga, com a derivada P′(t) (taxa de variação) e o ponto de inflexão.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caracterizar formalmente a dinâmica temporal, ajustou-se uma função polinomial de grau 3 às médias diárias de cada dimensão e derivaram-se as respectivas taxas de variação (Tabela 16; Figura 15). A modelagem restringiu-se ao eixo energia–fadiga (vigor, fadiga e PTH), onde os ajustes foram excelentes (vigor R² = 0,96; fadiga R² = 0,95); as dimensões negativas, próximas do piso e com variância reduzida, ajustaram-se mal e foram omitidas da modelagem. O vigor caiu a uma taxa média de -0,64 ponto/dia, com a maior velocidade de queda no início da semana (P′ no Dia 1 = -3,52 ponto/dia) e desaceleração progressiva, ao passo que a fadiga subiu em espelho (taxa média = +0,64 ponto/dia; P′ no Dia 1 = +2,23). A derivada segunda localizou um ponto de inflexão em torno do dia 4,2 para ambas — o momento em que a taxa de deterioração deixa de acelerar —, o que fornece uma leitura quantitativa do ritmo do desgaste e sinaliza a metade do microciclo como o marco a partir do qual a resposta afetiva muda de regime.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presente estudo caracterizou o comportamento do humor de handebolistas de elite ao longo da última semana de pré-temporada, e o achado central é inequívoco: a deterioração concentrou-se no eixo energia–fadiga. O vigor caiu e a fadiga subiu de forma consistente, tanto na resposta aguda a cada treino (pré → pós: vigor −14%, d = -0,47; fadiga +36%, d = +0,57) quanto na comparação do primeiro ao último dia (vigor d = -1,33; fadiga d = +0,78). A robustez desse achado é sustentada por três abordagens convergentes — o pós-teste do modelo misto comparando todos os dias, o teste de Friedman e a análise multivariada em escores T (Wilks λ = 0,181; F(6,15) = 11,32; p &lt; 0,001; η²ₚ = 0,82). Sob o critério conservador de Bonferroni, apenas o vigor (η²ₚ = 0,65) e a fadiga (η²ₚ = 0,39) permaneceram significativos, enquanto as dimensões negativas de valência não fadiga, próximas do piso, mantiveram-se estáveis. Confirma-se, assim, que o vigor e a fadiga são as dimensões subjetivas mais sensíveis à carga de treino, em consonância com a literatura de monitoramento (SAW; MAIN; GASTIN, 2016; THORPE et al., 2017;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de confirmar a deterioração, os resultados detalham a sua dinâmica temporal — o “quando”, tão relevante para a prática. O humor mais positivo concentrou-se no início da semana (vigor máximo no Dia 1) e a fadiga acumulou-se progressivamente até o pico no último dia (Dia 7), acompanhada da raiva e da Perturbação Total do Humor. Sobrepõem-se dois processos: um choque agudo intra-sessão, em que o vigor cai e a fadiga sobe do pré ao pós a cada treino, e um acúmulo ao longo da semana, que desloca o eixo energia–fadiga rumo ao final do microciclo — como evidenciado pelo pós-teste, em que os dias finais diferem significativamente do Dia 1. Essa leitura temporal é diretamente acionável: sinaliza que o reforço da recuperação deve concentrar-se na transição do início da semana (choque de carga) e no encerramento do microciclo (fadiga acumulada), pontos em que o estado psicofisiológico é mais desfavorável.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do handebol ajuda a contextualizar a magnitude dessa resposta. Trata-se de uma modalidade coletiva de invasão, marcadamente intermitente, na qual ações de alta intensidade — sprints, saltos, arremessos, bloqueios, mudanças de direção e contatos — alternam-se com períodos de recuperação incompleta, exigindo simultaneamente potência anaeróbia e capacidade aeróbia intermitente para sustentar o esforço repetido e retardar a instalação da fadiga (KARCHER; BUCHHEIT, 2014; MICHALSIK; AAGAARD, 2015). Evidências atuais confirmam que o treino e o jogo de handebol constituem exercício de alta intensidade, com elevadas demandas aeróbias e anaeróbias (PEREIRA et al., 2024), e que os esportes de invasão se caracterizam por atividade intermitente de alta intensidade intercalada por recuperação de menor intensidade (VACCARO-BENET et al., 2024). Nesse contexto, o acúmulo de carga da última semana de pré-temporada explica tanto a deterioração do eixo energia–fadiga quanto a migração do perfil de humor observadas, reforçando por que o vigor e a fadiga foram as dimensões mais sensíveis do painel.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achado de particular interesse foi a natureza dependente da carga na relação entre o afeto negativo e a fadiga. No dia de maior vigor (Dia 1, grupo descansado), as dimensões negativas mostraram-se praticamente independentes da fadiga (depressão × fadiga ρ = +0,38; raiva × fadiga ρ = +0,18); no dia de maior fadiga (Dia 7), esse acoplamento tornou-se forte (depressão × fadiga ρ = +0,76; raiva × fadiga ρ = +0,65). Em outras palavras, quando a equipe está recuperada, o atleta mais irritado ou abatido não é necessariamente o mais cansado; sob carga acumulada, porém, a irritabilidade e o abatimento organizam-se em torno da exaustão e o perfil de humor “fecha”. Esse padrão indica que a interpretação das dimensões negativas deve considerar o estado de fadiga do grupo, e que a elevação conjunta de afeto negativo e fadiga ao fim de um microciclo intenso é, em atletas de elite, uma resposta esperada à carga, e não necessariamente sinal de desajuste.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No plano dos perfis de humor, o deslocamento de prevalência do iceberg (prontidão) para a barbatana de tubarão (fadiga funcional) ao longo da semana — uma tendência descritiva, já que a diferença categórica não atingiu significância — reproduz, em um microciclo de handebol, o “derretimento do iceberg” descrito na literatura de sobrecarga (MORGAN, 1985; HAN; PARSONS-SMITH; TERRY, 2020). É relevante que, mesmo sob o acúmulo de carga da pré-temporada, os perfis associados a maior risco à saúde mental (Everest invertido, submerso e iceberg invertido) não se tornaram prevalentes: a deterioração restringiu-se ao perfil de fadiga, cuja prevalência no último dia (22%) superou nitidamente o patamar de referência de atletas do mesmo contexto brasileiro (11,6% em avaliação momentânea; DE MIRANDA ROHLFS et al., 2024). Esse contraste sugere que, em handebolistas de elite bem condicionados, a resposta ao acúmulo de carga é funcional e transitória — uma fadiga esperada — e não um sinal de risco psicológico. Tal leitura respalda o emprego do perfilamento do humor como triagem de prontidão e de bem-estar em modalidades coletivas de rendimento (TERRY et al., 2021), no qual a BRUMS já demonstrou sensibilidade a fatores como sono, desempenho e resultados de partida (ANDRADE et al., 2016; BRANDT; BEVILACQUA; ANDRADE, 2017; DO NASCIMENTO et al., 2026) e associação com desfechos como a lesão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transitório dessa resposta deve ser lido à luz da posição do microciclo no planejamento. A última semana de pré-temporada corresponde a uma fase de acumulação de carga, que antecede o afinamento (tapering) e a competição. Nesse enquadramento, a queda de vigor e a elevação de fadiga aqui documentadas configuram a assinatura afetiva esperada do acúmulo, e não um estado estável: o modelo de equilíbrio entre estresse e recuperação prevê que, com a redução da carga e o reforço da recuperação nos dias subsequentes, o vigor tende a ser restaurado e o perfil de prontidão (iceberg) a se reinstalar (KELLMANN et al., 2018). Interpretar a fadiga do fim do microciclo como um vale programado — e não como deterioração — é justamente o que habilita a comissão técnica a distinguir a resposta funcional daquela que exigiria intervenção, e reforça o valor de manter o monitoramento do humor na transição para o afinamento, quando a recuperação do estado afetivo é esperada e verificável.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inclusão do pico de velocidade do T-CAR como parâmetro fisiológico acrescentou uma leitura interindividual à resposta afetiva. Atletas com maior aptidão aeróbia intermitente reportaram mais vigor (ρ = +0,47; p = 0,017) e menos fadiga física (ρ = -0,51; p = 0,008) ao longo da semana, e um limiar de pico de velocidade de aproximadamente 14,9 km/h discriminou os dias de maior fadiga (área sob a curva = 0,67). Esse resultado é coerente com o papel da capacidade aeróbia intermitente em sustentar e repetir esforços de alta intensidade — acelerando a recuperação entre ações e retardando a fadiga — e, portanto, em modular a tolerância à carga do handebol, e com a validade do pico de velocidade do T-CAR como marcador de desempenho físico em modalidades intermitentes (FERNANDES-DA-SILVA et al., 2016). Do ponto de vista aplicado, normalizar a resposta de humor pela aptidão física ajuda a distinguir a fadiga esperada — de atletas menos aptos sob a mesma carga — daquela que possa sinalizar sobrecarga, e o limiar identificado oferece à comissão técnica uma referência objetiva para individualizar a prescrição da carga e o reforço da recuperação. O ajuste alométrico refinou essa leitura: como o pico de velocidade escala negativamente com a massa (expoente -0,19), parte da relação entre aptidão e fadiga física reflete o porte corporal e não apenas a capacidade aeróbia — ao normalizar o PV pela massa, essa associação se atenua. Já a relação entre aptidão e vigor resistiu ao ajuste, evidenciando um efeito genuíno de capacidade aeróbia sobre o estado de energia, independentemente do tamanho do atleta.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 acrescentaram duas leituras convergentes com o padrão central. A sonolência (Epworth) acompanhou a semana de carga, elevando-se rumo ao último dia e associando-se, entre atletas, a mais fadiga e pior humor global — um marcador de recuperação/sono que corrobora, no plano comportamental, a deterioração do eixo energia–fadiga e reforça a recomendação de vigiar o sono na fase de acumulação (KELLMANN et al., 2018). Já o estresse percebido (PSS-14) permaneceu estável e moderado, sem se relacionar à oscilação do humor; essa ausência de variação é informativa, pois indica que a resposta afetiva ao microciclo teve origem na carga de treino, e não em um aumento concomitante do estresse psicossocial percebido — um argumento a favor da especificidade do achado.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Algumas limitações devem ser consideradas na interpretação dos achados. O tamanho amostral (27 atletas) e o desenho observacional de fase única não permitem inferência causal sobre a carga, e as dimensões negativas, próximas do piso, apresentam variância e fidedignidade reduzidas, o que limita a leitura de suas pequenas variações. A conversão dos escores T foi referenciada à própria amostra — e não a tabelas normativas nacionais de atletas —, o que recomenda cautela na comparação absoluta de prevalências entre estudos e na classificação estrita dos perfis. A sonolência foi medida por uma versão de 6 itens do Epworth (sem ponto de corte clínico validado) e o estresse, pela PSS-14, cujo horizonte de referência é mais amplo que o microciclo; por isso, essas variáveis foram interpretadas por sua média semanal por atleta, e não por flutuações diárias. Como direções futuras, recomenda-se ampliar a amostra e acompanhar múltiplos microciclos, integrar o humor a marcadores de carga externa e interna mensurados continuamente, adotar tabelas normativas e agrupamento semeado (seeded k-means) para a classificação de perfis e testar o valor preditivo dos perfis negativos para desfechos como lesão e sobrecarga (DE MIRANDA ROHLFS et al., 2024, 2025).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humor dos handebolistas migrou da prontidão para a fadiga, com o vigor em queda e a fadiga em ascensão, do início ao fim da semana e dentro de cada treino, confirmado por comparações entre todos os dias e por análise multivariada. Os dias críticos foram identificados — maior vigor no início e maior fadiga no final —, e a aptidão intermitente mostrou-se associada à fadiga, com um limiar de pico de velocidade útil para individualizar a carga. Recomenda-se o acompanhamento contínuo do humor, com atenção especial ao eixo energia–fadiga.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PEREIRA, R. et al. Exercise intensity and reliability during recreational team handball training for 50–77-year-old unexperienced women. Biology of Sport, v. 41, n. 4, p. 253–261, 2024. DOI: 10.5114/biolsport.2024.132995.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VACCARO-BENET, P. et al. Internal and external load profile during beach invasion sports match-play by electronic performance and tracking systems: a systematic review. Sensors, v. 24, n. 12, 3738, 2024. DOI: 10.3390/s24123738.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