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w:t>
      </w:r>
    </w:p>
    <w:p>
      <w:pPr>
        <w:spacing w:before="120" w:line="240" w:lineRule="auto"/>
        <w:jc w:val="left"/>
      </w:pPr>
      <w:r>
        <w:rPr>
          <w:rFonts w:ascii="Times New Roman" w:hAnsi="Times New Roman"/>
          <w:b w:val="0"/>
          <w:i w:val="0"/>
          <w:sz w:val="20"/>
        </w:rPr>
        <w:t>Tabela 8 – Amplitude em três níveis (total, intra-atleta e do sinal), fração da escala utilizada e dose acumulada (área sob a trajetória)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Ampl. total</w:t>
            </w:r>
          </w:p>
        </w:tc>
        <w:tc>
          <w:tcPr>
            <w:tcW w:type="dxa" w:w="1567"/>
          </w:tcPr>
          <w:p>
            <w:r>
              <w:rPr>
                <w:rFonts w:ascii="Times New Roman" w:hAnsi="Times New Roman"/>
                <w:b/>
                <w:i w:val="0"/>
                <w:sz w:val="17"/>
              </w:rPr>
              <w:t>Ampl. intra-atleta</w:t>
            </w:r>
          </w:p>
        </w:tc>
        <w:tc>
          <w:tcPr>
            <w:tcW w:type="dxa" w:w="1567"/>
          </w:tcPr>
          <w:p>
            <w:r>
              <w:rPr>
                <w:rFonts w:ascii="Times New Roman" w:hAnsi="Times New Roman"/>
                <w:b/>
                <w:i w:val="0"/>
                <w:sz w:val="17"/>
              </w:rPr>
              <w:t>Ampl. do sinal</w:t>
            </w:r>
          </w:p>
        </w:tc>
        <w:tc>
          <w:tcPr>
            <w:tcW w:type="dxa" w:w="1567"/>
          </w:tcPr>
          <w:p>
            <w:r>
              <w:rPr>
                <w:rFonts w:ascii="Times New Roman" w:hAnsi="Times New Roman"/>
                <w:b/>
                <w:i w:val="0"/>
                <w:sz w:val="17"/>
              </w:rPr>
              <w:t>% da escala</w:t>
            </w:r>
          </w:p>
        </w:tc>
        <w:tc>
          <w:tcPr>
            <w:tcW w:type="dxa" w:w="1567"/>
          </w:tcPr>
          <w:p>
            <w:r>
              <w:rPr>
                <w:rFonts w:ascii="Times New Roman" w:hAnsi="Times New Roman"/>
                <w:b/>
                <w:i w:val="0"/>
                <w:sz w:val="17"/>
              </w:rPr>
              <w:t>Dose (AUC)</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15</w:t>
            </w:r>
          </w:p>
        </w:tc>
        <w:tc>
          <w:tcPr>
            <w:tcW w:type="dxa" w:w="1567"/>
          </w:tcPr>
          <w:p>
            <w:r>
              <w:rPr>
                <w:rFonts w:ascii="Times New Roman" w:hAnsi="Times New Roman"/>
                <w:b w:val="0"/>
                <w:i w:val="0"/>
                <w:sz w:val="17"/>
              </w:rPr>
              <w:t>4,8</w:t>
            </w:r>
          </w:p>
        </w:tc>
        <w:tc>
          <w:tcPr>
            <w:tcW w:type="dxa" w:w="1567"/>
          </w:tcPr>
          <w:p>
            <w:r>
              <w:rPr>
                <w:rFonts w:ascii="Times New Roman" w:hAnsi="Times New Roman"/>
                <w:b w:val="0"/>
                <w:i w:val="0"/>
                <w:sz w:val="17"/>
              </w:rPr>
              <w:t>3,33</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33,7</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16</w:t>
            </w:r>
          </w:p>
        </w:tc>
        <w:tc>
          <w:tcPr>
            <w:tcW w:type="dxa" w:w="1567"/>
          </w:tcPr>
          <w:p>
            <w:r>
              <w:rPr>
                <w:rFonts w:ascii="Times New Roman" w:hAnsi="Times New Roman"/>
                <w:b w:val="0"/>
                <w:i w:val="0"/>
                <w:sz w:val="17"/>
              </w:rPr>
              <w:t>5,3</w:t>
            </w:r>
          </w:p>
        </w:tc>
        <w:tc>
          <w:tcPr>
            <w:tcW w:type="dxa" w:w="1567"/>
          </w:tcPr>
          <w:p>
            <w:r>
              <w:rPr>
                <w:rFonts w:ascii="Times New Roman" w:hAnsi="Times New Roman"/>
                <w:b w:val="0"/>
                <w:i w:val="0"/>
                <w:sz w:val="17"/>
              </w:rPr>
              <w:t>3,39</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32,5</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3,9</w:t>
            </w:r>
          </w:p>
        </w:tc>
        <w:tc>
          <w:tcPr>
            <w:tcW w:type="dxa" w:w="1567"/>
          </w:tcPr>
          <w:p>
            <w:r>
              <w:rPr>
                <w:rFonts w:ascii="Times New Roman" w:hAnsi="Times New Roman"/>
                <w:b w:val="0"/>
                <w:i w:val="0"/>
                <w:sz w:val="17"/>
              </w:rPr>
              <w:t>3,30</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35,5</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3,1</w:t>
            </w:r>
          </w:p>
        </w:tc>
        <w:tc>
          <w:tcPr>
            <w:tcW w:type="dxa" w:w="1567"/>
          </w:tcPr>
          <w:p>
            <w:r>
              <w:rPr>
                <w:rFonts w:ascii="Times New Roman" w:hAnsi="Times New Roman"/>
                <w:b w:val="0"/>
                <w:i w:val="0"/>
                <w:sz w:val="17"/>
              </w:rPr>
              <w:t>0,76</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27,3</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64</w:t>
            </w:r>
          </w:p>
        </w:tc>
        <w:tc>
          <w:tcPr>
            <w:tcW w:type="dxa" w:w="1567"/>
          </w:tcPr>
          <w:p>
            <w:r>
              <w:rPr>
                <w:rFonts w:ascii="Times New Roman" w:hAnsi="Times New Roman"/>
                <w:b w:val="0"/>
                <w:i w:val="0"/>
                <w:sz w:val="17"/>
              </w:rPr>
              <w:t>12,8</w:t>
            </w:r>
          </w:p>
        </w:tc>
        <w:tc>
          <w:tcPr>
            <w:tcW w:type="dxa" w:w="1567"/>
          </w:tcPr>
          <w:p>
            <w:r>
              <w:rPr>
                <w:rFonts w:ascii="Times New Roman" w:hAnsi="Times New Roman"/>
                <w:b w:val="0"/>
                <w:i w:val="0"/>
                <w:sz w:val="17"/>
              </w:rPr>
              <w:t>6,23</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25,4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Os limites revelam uma hierarquia constante — amplitude do sinal &lt; amplitude intra-atleta &lt; amplitude total —: o atleta oscila 2 a 3 vezes mais que a trajetória média do grupo, porque sua oscilação carrega o próprio ruído, e o sinal do microciclo ocupa apenas 5–33% da escala. A dose acumulada (área sob a trajetória) sintetiza a carga psicométrica total do período. As derivadas (Figuras 3 e 4) descrevem a forma da mudança: a velocidade da fadiga física e da fadiga do BRUMS é máxima nas extremidades (início e Dia 7), com um mínimo no meio da semana; a aceleração troca de sinal uma única vez — o ponto de inflexão —, em torno do Dia 4 para o vigor, a fadiga física e a fadiga do BRUMS (e ≈ Dia 3,5 para a PTH). O sinal da terceira derivada (jerk) é positivo para as fadigas, indicando que a aceleração da deterioração cresce rumo ao fim da semana — a assinatura da precipitação do Dia 7, e não de uma saturação.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Velocidade (barras) e aceleração (linha pontilhada) por dia, para cada variável — perfil completo das derivadas</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x_deriv_exp.png"/>
                    <pic:cNvPicPr/>
                  </pic:nvPicPr>
                  <pic:blipFill>
                    <a:blip r:embed="rId1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9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1" name="Picture 11"/>
            <wp:cNvGraphicFramePr>
              <a:graphicFrameLocks noChangeAspect="1"/>
            </wp:cNvGraphicFramePr>
            <a:graphic>
              <a:graphicData uri="http://schemas.openxmlformats.org/drawingml/2006/picture">
                <pic:pic>
                  <pic:nvPicPr>
                    <pic:cNvPr id="0" name="sem_f_iceberg.png"/>
                    <pic:cNvPicPr/>
                  </pic:nvPicPr>
                  <pic:blipFill>
                    <a:blip r:embed="rId1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fig_perfis_esquema.png"/>
                    <pic:cNvPicPr/>
                  </pic:nvPicPr>
                  <pic:blipFill>
                    <a:blip r:embed="rId20"/>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3" name="Picture 13"/>
            <wp:cNvGraphicFramePr>
              <a:graphicFrameLocks noChangeAspect="1"/>
            </wp:cNvGraphicFramePr>
            <a:graphic>
              <a:graphicData uri="http://schemas.openxmlformats.org/drawingml/2006/picture">
                <pic:pic>
                  <pic:nvPicPr>
                    <pic:cNvPr id="0" name="v_delta.png"/>
                    <pic:cNvPicPr/>
                  </pic:nvPicPr>
                  <pic:blipFill>
                    <a:blip r:embed="rId2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6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4" name="Picture 14"/>
            <wp:cNvGraphicFramePr>
              <a:graphicFrameLocks noChangeAspect="1"/>
            </wp:cNvGraphicFramePr>
            <a:graphic>
              <a:graphicData uri="http://schemas.openxmlformats.org/drawingml/2006/picture">
                <pic:pic>
                  <pic:nvPicPr>
                    <pic:cNvPr id="0" name="v_individual.png"/>
                    <pic:cNvPicPr/>
                  </pic:nvPicPr>
                  <pic:blipFill>
                    <a:blip r:embed="rId22"/>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10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facet.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7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6" name="Picture 16"/>
            <wp:cNvGraphicFramePr>
              <a:graphicFrameLocks noChangeAspect="1"/>
            </wp:cNvGraphicFramePr>
            <a:graphic>
              <a:graphicData uri="http://schemas.openxmlformats.org/drawingml/2006/picture">
                <pic:pic>
                  <pic:nvPicPr>
                    <pic:cNvPr id="0" name="x_slopes.png"/>
                    <pic:cNvPicPr/>
                  </pic:nvPicPr>
                  <pic:blipFill>
                    <a:blip r:embed="rId24"/>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12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7" name="Picture 17"/>
            <wp:cNvGraphicFramePr>
              <a:graphicFrameLocks noChangeAspect="1"/>
            </wp:cNvGraphicFramePr>
            <a:graphic>
              <a:graphicData uri="http://schemas.openxmlformats.org/drawingml/2006/picture">
                <pic:pic>
                  <pic:nvPicPr>
                    <pic:cNvPr id="0" name="x_pca.png"/>
                    <pic:cNvPicPr/>
                  </pic:nvPicPr>
                  <pic:blipFill>
                    <a:blip r:embed="rId25"/>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4.10 Confiabilidade interna das subescalas (α de Cronbach e ω de McDonald)</w:t>
      </w:r>
    </w:p>
    <w:p>
      <w:pPr>
        <w:spacing w:before="120" w:line="240" w:lineRule="auto"/>
        <w:jc w:val="left"/>
      </w:pPr>
      <w:r>
        <w:rPr>
          <w:rFonts w:ascii="Times New Roman" w:hAnsi="Times New Roman"/>
          <w:b w:val="0"/>
          <w:i w:val="0"/>
          <w:sz w:val="20"/>
        </w:rPr>
        <w:t>Tabela 13 – Confiabilidade (consistência interna) das seis subescalas do BRUMS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Subescala</w:t>
            </w:r>
          </w:p>
        </w:tc>
        <w:tc>
          <w:tcPr>
            <w:tcW w:type="dxa" w:w="1881"/>
          </w:tcPr>
          <w:p>
            <w:r>
              <w:rPr>
                <w:rFonts w:ascii="Times New Roman" w:hAnsi="Times New Roman"/>
                <w:b/>
                <w:i w:val="0"/>
                <w:sz w:val="17"/>
              </w:rPr>
              <w:t>Nº itens</w:t>
            </w:r>
          </w:p>
        </w:tc>
        <w:tc>
          <w:tcPr>
            <w:tcW w:type="dxa" w:w="1881"/>
          </w:tcPr>
          <w:p>
            <w:r>
              <w:rPr>
                <w:rFonts w:ascii="Times New Roman" w:hAnsi="Times New Roman"/>
                <w:b/>
                <w:i w:val="0"/>
                <w:sz w:val="17"/>
              </w:rPr>
              <w:t>α de Cronbach</w:t>
            </w:r>
          </w:p>
        </w:tc>
        <w:tc>
          <w:tcPr>
            <w:tcW w:type="dxa" w:w="1881"/>
          </w:tcPr>
          <w:p>
            <w:r>
              <w:rPr>
                <w:rFonts w:ascii="Times New Roman" w:hAnsi="Times New Roman"/>
                <w:b/>
                <w:i w:val="0"/>
                <w:sz w:val="17"/>
              </w:rPr>
              <w:t>ω de McDonald</w:t>
            </w:r>
          </w:p>
        </w:tc>
        <w:tc>
          <w:tcPr>
            <w:tcW w:type="dxa" w:w="1881"/>
          </w:tcPr>
          <w:p>
            <w:r>
              <w:rPr>
                <w:rFonts w:ascii="Times New Roman" w:hAnsi="Times New Roman"/>
                <w:b/>
                <w:i w:val="0"/>
                <w:sz w:val="17"/>
              </w:rPr>
              <w:t>r̄ inter-itens</w:t>
            </w:r>
          </w:p>
        </w:tc>
      </w:tr>
      <w:tr>
        <w:tc>
          <w:tcPr>
            <w:tcW w:type="dxa" w:w="1881"/>
          </w:tcPr>
          <w:p>
            <w:r>
              <w:rPr>
                <w:rFonts w:ascii="Times New Roman" w:hAnsi="Times New Roman"/>
                <w:b w:val="0"/>
                <w:i w:val="0"/>
                <w:sz w:val="17"/>
              </w:rPr>
              <w:t>Tensão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0,69</w:t>
            </w:r>
          </w:p>
        </w:tc>
        <w:tc>
          <w:tcPr>
            <w:tcW w:type="dxa" w:w="1881"/>
          </w:tcPr>
          <w:p>
            <w:r>
              <w:rPr>
                <w:rFonts w:ascii="Times New Roman" w:hAnsi="Times New Roman"/>
                <w:b w:val="0"/>
                <w:i w:val="0"/>
                <w:sz w:val="17"/>
              </w:rPr>
              <w:t>0,16</w:t>
            </w:r>
          </w:p>
        </w:tc>
      </w:tr>
      <w:tr>
        <w:tc>
          <w:tcPr>
            <w:tcW w:type="dxa" w:w="1881"/>
          </w:tcPr>
          <w:p>
            <w:r>
              <w:rPr>
                <w:rFonts w:ascii="Times New Roman" w:hAnsi="Times New Roman"/>
                <w:b w:val="0"/>
                <w:i w:val="0"/>
                <w:sz w:val="17"/>
              </w:rPr>
              <w:t>Depressão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0,85</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0,63</w:t>
            </w:r>
          </w:p>
        </w:tc>
      </w:tr>
      <w:tr>
        <w:tc>
          <w:tcPr>
            <w:tcW w:type="dxa" w:w="1881"/>
          </w:tcPr>
          <w:p>
            <w:r>
              <w:rPr>
                <w:rFonts w:ascii="Times New Roman" w:hAnsi="Times New Roman"/>
                <w:b w:val="0"/>
                <w:i w:val="0"/>
                <w:sz w:val="17"/>
              </w:rPr>
              <w:t>Raiva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0,83</w:t>
            </w:r>
          </w:p>
        </w:tc>
        <w:tc>
          <w:tcPr>
            <w:tcW w:type="dxa" w:w="1881"/>
          </w:tcPr>
          <w:p>
            <w:r>
              <w:rPr>
                <w:rFonts w:ascii="Times New Roman" w:hAnsi="Times New Roman"/>
                <w:b w:val="0"/>
                <w:i w:val="0"/>
                <w:sz w:val="17"/>
              </w:rPr>
              <w:t>0,38</w:t>
            </w:r>
          </w:p>
        </w:tc>
      </w:tr>
      <w:tr>
        <w:tc>
          <w:tcPr>
            <w:tcW w:type="dxa" w:w="1881"/>
          </w:tcPr>
          <w:p>
            <w:r>
              <w:rPr>
                <w:rFonts w:ascii="Times New Roman" w:hAnsi="Times New Roman"/>
                <w:b w:val="0"/>
                <w:i w:val="0"/>
                <w:sz w:val="17"/>
              </w:rPr>
              <w:t>Fadiga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0,80</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0,47</w:t>
            </w:r>
          </w:p>
        </w:tc>
      </w:tr>
      <w:tr>
        <w:tc>
          <w:tcPr>
            <w:tcW w:type="dxa" w:w="1881"/>
          </w:tcPr>
          <w:p>
            <w:r>
              <w:rPr>
                <w:rFonts w:ascii="Times New Roman" w:hAnsi="Times New Roman"/>
                <w:b w:val="0"/>
                <w:i w:val="0"/>
                <w:sz w:val="17"/>
              </w:rPr>
              <w:t>Confusão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0,65</w:t>
            </w:r>
          </w:p>
        </w:tc>
        <w:tc>
          <w:tcPr>
            <w:tcW w:type="dxa" w:w="1881"/>
          </w:tcPr>
          <w:p>
            <w:r>
              <w:rPr>
                <w:rFonts w:ascii="Times New Roman" w:hAnsi="Times New Roman"/>
                <w:b w:val="0"/>
                <w:i w:val="0"/>
                <w:sz w:val="17"/>
              </w:rPr>
              <w:t>0,79</w:t>
            </w:r>
          </w:p>
        </w:tc>
        <w:tc>
          <w:tcPr>
            <w:tcW w:type="dxa" w:w="1881"/>
          </w:tcPr>
          <w:p>
            <w:r>
              <w:rPr>
                <w:rFonts w:ascii="Times New Roman" w:hAnsi="Times New Roman"/>
                <w:b w:val="0"/>
                <w:i w:val="0"/>
                <w:sz w:val="17"/>
              </w:rPr>
              <w:t>0,32</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consistência interna das subescalas foi, em geral, adequada a boa, com o ω de McDonald — estimador menos enviesado que o α para poucos itens — variando de 0,69 a 0,91: excelente para depressão (0,91), raiva (0,91) e fadiga (0,87), e boa para vigor (0,83), confusão (0,79) e mesmo tensão (0,69). O α de Cronbach acompanha esse padrão, exceto na tensão (α = 0,43), cujo valor é rebaixado não por falha do construto, mas pelo forte efeito de piso (baixa variância e baixa correlação média inter-itens, r̄ = 0,16), como se vê ao contrastá-lo com o ω. Em conjunto, os escores das subescalas são suficientemente fidedignos para o monitoramento, com a ressalva de que a tensão deve ser lida com cautela neste contexto.</w:t>
      </w:r>
    </w:p>
    <w:p>
      <w:pPr>
        <w:spacing w:before="120" w:after="40"/>
        <w:jc w:val="left"/>
      </w:pPr>
      <w:r>
        <w:rPr>
          <w:rFonts w:ascii="Times New Roman" w:hAnsi="Times New Roman"/>
          <w:b/>
          <w:i w:val="0"/>
          <w:sz w:val="24"/>
        </w:rPr>
        <w:t>4.11 Modelo misto multivariado do eixo energia–fadiga</w:t>
      </w:r>
    </w:p>
    <w:p>
      <w:pPr>
        <w:spacing w:line="360" w:lineRule="auto"/>
        <w:ind w:firstLine="709"/>
        <w:jc w:val="both"/>
      </w:pPr>
      <w:r>
        <w:rPr>
          <w:rFonts w:ascii="Times New Roman" w:hAnsi="Times New Roman"/>
          <w:b w:val="0"/>
          <w:i w:val="0"/>
          <w:sz w:val="24"/>
        </w:rPr>
        <w:t>O eixo energia–fadiga foi modelado conjuntamente (vigor, fadiga do BRUMS, fadiga física e fadiga mental; a PTH foi excluída por ser derivada dessas dimensões). A estrutura entre-atletas (Figura 7) confirma o eixo como dimensão de traço: o vigor correlaciona-se negativamente com as três fadigas (r = −0,27 a −0,38), enquanto a fadiga do BRUMS e a fadiga física correlacionam-se fortemente entre si (r = +0,74) — atletas mais fatigados numa dimensão tendem a sê-lo nas demais.</w:t>
      </w:r>
    </w:p>
    <w:p>
      <w:pPr>
        <w:spacing w:before="120" w:line="240" w:lineRule="auto"/>
        <w:jc w:val="center"/>
      </w:pPr>
      <w:r>
        <w:rPr>
          <w:rFonts w:ascii="Times New Roman" w:hAnsi="Times New Roman"/>
          <w:b w:val="0"/>
          <w:i w:val="0"/>
          <w:sz w:val="20"/>
        </w:rPr>
        <w:t>Figura 8 – Correlações entre-atletas (nível de traço) das quatro variáveis do eixo energia–fadiga</w:t>
      </w:r>
    </w:p>
    <w:p>
      <w:pPr>
        <w:jc w:val="center"/>
      </w:pPr>
      <w:r>
        <w:drawing>
          <wp:inline xmlns:a="http://schemas.openxmlformats.org/drawingml/2006/main" xmlns:pic="http://schemas.openxmlformats.org/drawingml/2006/picture">
            <wp:extent cx="4389120" cy="3657600"/>
            <wp:docPr id="18" name="Picture 18"/>
            <wp:cNvGraphicFramePr>
              <a:graphicFrameLocks noChangeAspect="1"/>
            </wp:cNvGraphicFramePr>
            <a:graphic>
              <a:graphicData uri="http://schemas.openxmlformats.org/drawingml/2006/picture">
                <pic:pic>
                  <pic:nvPicPr>
                    <pic:cNvPr id="0" name="x_trait_corr.png"/>
                    <pic:cNvPicPr/>
                  </pic:nvPicPr>
                  <pic:blipFill>
                    <a:blip r:embed="rId26"/>
                    <a:stretch>
                      <a:fillRect/>
                    </a:stretch>
                  </pic:blipFill>
                  <pic:spPr>
                    <a:xfrm>
                      <a:off x="0" y="0"/>
                      <a:ext cx="4389120" cy="365760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14 – Testes multivariados do efeito do microciclo sobre o eixo energia–fadiga (quatro variáveis conjuntas)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Teste</w:t>
            </w:r>
          </w:p>
        </w:tc>
        <w:tc>
          <w:tcPr>
            <w:tcW w:type="dxa" w:w="3135"/>
          </w:tcPr>
          <w:p>
            <w:r>
              <w:rPr>
                <w:rFonts w:ascii="Times New Roman" w:hAnsi="Times New Roman"/>
                <w:b/>
                <w:i w:val="0"/>
                <w:sz w:val="17"/>
              </w:rPr>
              <w:t>Estatística</w:t>
            </w:r>
          </w:p>
        </w:tc>
        <w:tc>
          <w:tcPr>
            <w:tcW w:type="dxa" w:w="3135"/>
          </w:tcPr>
          <w:p>
            <w:r>
              <w:rPr>
                <w:rFonts w:ascii="Times New Roman" w:hAnsi="Times New Roman"/>
                <w:b/>
                <w:i w:val="0"/>
                <w:sz w:val="17"/>
              </w:rPr>
              <w:t>p</w:t>
            </w:r>
          </w:p>
        </w:tc>
      </w:tr>
      <w:tr>
        <w:tc>
          <w:tcPr>
            <w:tcW w:type="dxa" w:w="3135"/>
          </w:tcPr>
          <w:p>
            <w:r>
              <w:rPr>
                <w:rFonts w:ascii="Times New Roman" w:hAnsi="Times New Roman"/>
                <w:b w:val="0"/>
                <w:i w:val="0"/>
                <w:sz w:val="17"/>
              </w:rPr>
              <w:t>Modelo misto multivariado — efeito conjunto do dia (LRT)</w:t>
            </w:r>
          </w:p>
        </w:tc>
        <w:tc>
          <w:tcPr>
            <w:tcW w:type="dxa" w:w="3135"/>
          </w:tcPr>
          <w:p>
            <w:r>
              <w:rPr>
                <w:rFonts w:ascii="Times New Roman" w:hAnsi="Times New Roman"/>
                <w:b w:val="0"/>
                <w:i w:val="0"/>
                <w:sz w:val="17"/>
              </w:rPr>
              <w:t>χ²(4) = 109,1</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Hotelling T² — Dia 1 vs Dia 7 (multivariado pareado)</w:t>
            </w:r>
          </w:p>
        </w:tc>
        <w:tc>
          <w:tcPr>
            <w:tcW w:type="dxa" w:w="3135"/>
          </w:tcPr>
          <w:p>
            <w:r>
              <w:rPr>
                <w:rFonts w:ascii="Times New Roman" w:hAnsi="Times New Roman"/>
                <w:b w:val="0"/>
                <w:i w:val="0"/>
                <w:sz w:val="17"/>
              </w:rPr>
              <w:t>F(4,17) = 18,17</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Tamanho de efeito multivariado — D de Mahalanobis (D1→D7)</w:t>
            </w:r>
          </w:p>
        </w:tc>
        <w:tc>
          <w:tcPr>
            <w:tcW w:type="dxa" w:w="3135"/>
          </w:tcPr>
          <w:p>
            <w:r>
              <w:rPr>
                <w:rFonts w:ascii="Times New Roman" w:hAnsi="Times New Roman"/>
                <w:b w:val="0"/>
                <w:i w:val="0"/>
                <w:sz w:val="17"/>
              </w:rPr>
              <w:t>D = 2,02</w:t>
            </w:r>
          </w:p>
        </w:tc>
        <w:tc>
          <w:tcPr>
            <w:tcW w:type="dxa" w:w="3135"/>
          </w:tcPr>
          <w:p>
            <w:r>
              <w:rPr>
                <w:rFonts w:ascii="Times New Roman" w:hAnsi="Times New Roman"/>
                <w:b w:val="0"/>
                <w:i w:val="0"/>
                <w:sz w:val="17"/>
              </w:rPr>
              <w:t>—</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misto multivariado — que ajusta as quatro variáveis conjuntamente, com efeitos aleatórios de atleta — indica um efeito do dia altamente significativo sobre o perfil como um todo (razão de verossimilhança χ²(4) = 109,1; p ≈ 10⁻²²), confirmando que a deterioração é um deslocamento coordenado do vetor de humor, e não fruto de uma variável isolada. A comparação multivariada da linha de base ao último dia (Hotelling T²) é igualmente significativa (F(4,17) = 18,17; p &lt; 0,001), com tamanho de efeito multivariado muito grande (D de Mahalanobis = 2,02) — magnitude que integra, num único índice, o afastamento conjunto do vigor e das fadigas entre o início e o fim da semana.</w:t>
      </w:r>
    </w:p>
    <w:p>
      <w:pPr>
        <w:spacing w:before="120" w:after="40"/>
        <w:jc w:val="left"/>
      </w:pPr>
      <w:r>
        <w:rPr>
          <w:rFonts w:ascii="Times New Roman" w:hAnsi="Times New Roman"/>
          <w:b/>
          <w:i w:val="0"/>
          <w:sz w:val="24"/>
        </w:rPr>
        <w:t>4.12 Acoplamento intra-atleta das variáveis (correlação de medidas repetidas, rmcorr)</w:t>
      </w:r>
    </w:p>
    <w:p>
      <w:pPr>
        <w:spacing w:line="360" w:lineRule="auto"/>
        <w:ind w:firstLine="709"/>
        <w:jc w:val="both"/>
      </w:pPr>
      <w:r>
        <w:rPr>
          <w:rFonts w:ascii="Times New Roman" w:hAnsi="Times New Roman"/>
          <w:b w:val="0"/>
          <w:i w:val="0"/>
          <w:sz w:val="24"/>
        </w:rPr>
        <w:t>Enquanto a correlação entre-atletas (Figura 7) descreve como os atletas se ordenam entre si, a correlação de medidas repetidas (rmcorr) descreve como as variáveis co-variam dentro de cada atleta ao longo da semana, removendo as diferenças de nível entre indivíduos. A matriz rmcorr (Figura 8) confirma o eixo energia–fadiga também no nível intraindividual: quando um atleta piora, o vigor cai e as fadigas sobem de forma acoplada — o vigor correlaciona-se negativamente com a fadiga do BRUMS (rmcorr = −0,48), a fadiga física (−0,50) e a PTH (−0,59), enquanto a fadiga do BRUMS e a fadiga física sobem juntas (rmcorr = +0,65) e ambas acompanham a PTH (+0,72 e +0,51). Esse acoplamento intraindividual reforça que o monitoramento de qualquer marcador do eixo captura, em boa parte, a mesma informação de estado.</w:t>
      </w:r>
    </w:p>
    <w:p>
      <w:pPr>
        <w:spacing w:before="120" w:line="240" w:lineRule="auto"/>
        <w:jc w:val="center"/>
      </w:pPr>
      <w:r>
        <w:rPr>
          <w:rFonts w:ascii="Times New Roman" w:hAnsi="Times New Roman"/>
          <w:b w:val="0"/>
          <w:i w:val="0"/>
          <w:sz w:val="20"/>
        </w:rPr>
        <w:t>Figura 9 – Matriz de correlação intra-atleta (rmcorr) entre as variáveis do eixo energia–fadiga</w:t>
      </w:r>
    </w:p>
    <w:p>
      <w:pPr>
        <w:jc w:val="center"/>
      </w:pPr>
      <w:r>
        <w:drawing>
          <wp:inline xmlns:a="http://schemas.openxmlformats.org/drawingml/2006/main" xmlns:pic="http://schemas.openxmlformats.org/drawingml/2006/picture">
            <wp:extent cx="4389120" cy="3686861"/>
            <wp:docPr id="19" name="Picture 19"/>
            <wp:cNvGraphicFramePr>
              <a:graphicFrameLocks noChangeAspect="1"/>
            </wp:cNvGraphicFramePr>
            <a:graphic>
              <a:graphicData uri="http://schemas.openxmlformats.org/drawingml/2006/picture">
                <pic:pic>
                  <pic:nvPicPr>
                    <pic:cNvPr id="0" name="x_rmcorr.png"/>
                    <pic:cNvPicPr/>
                  </pic:nvPicPr>
                  <pic:blipFill>
                    <a:blip r:embed="rId27"/>
                    <a:stretch>
                      <a:fillRect/>
                    </a:stretch>
                  </pic:blipFill>
                  <pic:spPr>
                    <a:xfrm>
                      <a:off x="0" y="0"/>
                      <a:ext cx="4389120" cy="368686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4.13 Análise fatorial confirmatória da estrutura de seis fatores do BRUMS</w:t>
      </w:r>
    </w:p>
    <w:p>
      <w:pPr>
        <w:spacing w:before="120" w:line="240" w:lineRule="auto"/>
        <w:jc w:val="left"/>
      </w:pPr>
      <w:r>
        <w:rPr>
          <w:rFonts w:ascii="Times New Roman" w:hAnsi="Times New Roman"/>
          <w:b w:val="0"/>
          <w:i w:val="0"/>
          <w:sz w:val="20"/>
        </w:rPr>
        <w:t>Tabela 15 – Índices de ajuste da análise fatorial confirmatória do modelo de seis fatores do BRUMS (24 itens; estimação por máxima verossimilhança)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Índice</w:t>
            </w:r>
          </w:p>
        </w:tc>
        <w:tc>
          <w:tcPr>
            <w:tcW w:type="dxa" w:w="3135"/>
          </w:tcPr>
          <w:p>
            <w:r>
              <w:rPr>
                <w:rFonts w:ascii="Times New Roman" w:hAnsi="Times New Roman"/>
                <w:b/>
                <w:i w:val="0"/>
                <w:sz w:val="17"/>
              </w:rPr>
              <w:t>Valor</w:t>
            </w:r>
          </w:p>
        </w:tc>
        <w:tc>
          <w:tcPr>
            <w:tcW w:type="dxa" w:w="3135"/>
          </w:tcPr>
          <w:p>
            <w:r>
              <w:rPr>
                <w:rFonts w:ascii="Times New Roman" w:hAnsi="Times New Roman"/>
                <w:b/>
                <w:i w:val="0"/>
                <w:sz w:val="17"/>
              </w:rPr>
              <w:t>Referência</w:t>
            </w:r>
          </w:p>
        </w:tc>
      </w:tr>
      <w:tr>
        <w:tc>
          <w:tcPr>
            <w:tcW w:type="dxa" w:w="3135"/>
          </w:tcPr>
          <w:p>
            <w:r>
              <w:rPr>
                <w:rFonts w:ascii="Times New Roman" w:hAnsi="Times New Roman"/>
                <w:b w:val="0"/>
                <w:i w:val="0"/>
                <w:sz w:val="17"/>
              </w:rPr>
              <w:t>χ² (df)</w:t>
            </w:r>
          </w:p>
        </w:tc>
        <w:tc>
          <w:tcPr>
            <w:tcW w:type="dxa" w:w="3135"/>
          </w:tcPr>
          <w:p>
            <w:r>
              <w:rPr>
                <w:rFonts w:ascii="Times New Roman" w:hAnsi="Times New Roman"/>
                <w:b w:val="0"/>
                <w:i w:val="0"/>
                <w:sz w:val="17"/>
              </w:rPr>
              <w:t>923 (237)</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CFI</w:t>
            </w:r>
          </w:p>
        </w:tc>
        <w:tc>
          <w:tcPr>
            <w:tcW w:type="dxa" w:w="3135"/>
          </w:tcPr>
          <w:p>
            <w:r>
              <w:rPr>
                <w:rFonts w:ascii="Times New Roman" w:hAnsi="Times New Roman"/>
                <w:b w:val="0"/>
                <w:i w:val="0"/>
                <w:sz w:val="17"/>
              </w:rPr>
              <w:t>0,864</w:t>
            </w:r>
          </w:p>
        </w:tc>
        <w:tc>
          <w:tcPr>
            <w:tcW w:type="dxa" w:w="3135"/>
          </w:tcPr>
          <w:p>
            <w:r>
              <w:rPr>
                <w:rFonts w:ascii="Times New Roman" w:hAnsi="Times New Roman"/>
                <w:b w:val="0"/>
                <w:i w:val="0"/>
                <w:sz w:val="17"/>
              </w:rPr>
              <w:t>≥ 0,90 (aceitável); ≥ 0,95 (bom)</w:t>
            </w:r>
          </w:p>
        </w:tc>
      </w:tr>
      <w:tr>
        <w:tc>
          <w:tcPr>
            <w:tcW w:type="dxa" w:w="3135"/>
          </w:tcPr>
          <w:p>
            <w:r>
              <w:rPr>
                <w:rFonts w:ascii="Times New Roman" w:hAnsi="Times New Roman"/>
                <w:b w:val="0"/>
                <w:i w:val="0"/>
                <w:sz w:val="17"/>
              </w:rPr>
              <w:t>TLI</w:t>
            </w:r>
          </w:p>
        </w:tc>
        <w:tc>
          <w:tcPr>
            <w:tcW w:type="dxa" w:w="3135"/>
          </w:tcPr>
          <w:p>
            <w:r>
              <w:rPr>
                <w:rFonts w:ascii="Times New Roman" w:hAnsi="Times New Roman"/>
                <w:b w:val="0"/>
                <w:i w:val="0"/>
                <w:sz w:val="17"/>
              </w:rPr>
              <w:t>0,842</w:t>
            </w:r>
          </w:p>
        </w:tc>
        <w:tc>
          <w:tcPr>
            <w:tcW w:type="dxa" w:w="3135"/>
          </w:tcPr>
          <w:p>
            <w:r>
              <w:rPr>
                <w:rFonts w:ascii="Times New Roman" w:hAnsi="Times New Roman"/>
                <w:b w:val="0"/>
                <w:i w:val="0"/>
                <w:sz w:val="17"/>
              </w:rPr>
              <w:t>≥ 0,90</w:t>
            </w:r>
          </w:p>
        </w:tc>
      </w:tr>
      <w:tr>
        <w:tc>
          <w:tcPr>
            <w:tcW w:type="dxa" w:w="3135"/>
          </w:tcPr>
          <w:p>
            <w:r>
              <w:rPr>
                <w:rFonts w:ascii="Times New Roman" w:hAnsi="Times New Roman"/>
                <w:b w:val="0"/>
                <w:i w:val="0"/>
                <w:sz w:val="17"/>
              </w:rPr>
              <w:t>RMSEA</w:t>
            </w:r>
          </w:p>
        </w:tc>
        <w:tc>
          <w:tcPr>
            <w:tcW w:type="dxa" w:w="3135"/>
          </w:tcPr>
          <w:p>
            <w:r>
              <w:rPr>
                <w:rFonts w:ascii="Times New Roman" w:hAnsi="Times New Roman"/>
                <w:b w:val="0"/>
                <w:i w:val="0"/>
                <w:sz w:val="17"/>
              </w:rPr>
              <w:t>0,080</w:t>
            </w:r>
          </w:p>
        </w:tc>
        <w:tc>
          <w:tcPr>
            <w:tcW w:type="dxa" w:w="3135"/>
          </w:tcPr>
          <w:p>
            <w:r>
              <w:rPr>
                <w:rFonts w:ascii="Times New Roman" w:hAnsi="Times New Roman"/>
                <w:b w:val="0"/>
                <w:i w:val="0"/>
                <w:sz w:val="17"/>
              </w:rPr>
              <w:t>≤ 0,08 (aceitável); ≤ 0,06 (bom)</w:t>
            </w:r>
          </w:p>
        </w:tc>
      </w:tr>
      <w:tr>
        <w:tc>
          <w:tcPr>
            <w:tcW w:type="dxa" w:w="3135"/>
          </w:tcPr>
          <w:p>
            <w:r>
              <w:rPr>
                <w:rFonts w:ascii="Times New Roman" w:hAnsi="Times New Roman"/>
                <w:b w:val="0"/>
                <w:i w:val="0"/>
                <w:sz w:val="17"/>
              </w:rPr>
              <w:t>SRMR</w:t>
            </w:r>
          </w:p>
        </w:tc>
        <w:tc>
          <w:tcPr>
            <w:tcW w:type="dxa" w:w="3135"/>
          </w:tcPr>
          <w:p>
            <w:r>
              <w:rPr>
                <w:rFonts w:ascii="Times New Roman" w:hAnsi="Times New Roman"/>
                <w:b w:val="0"/>
                <w:i w:val="0"/>
                <w:sz w:val="17"/>
              </w:rPr>
              <w:t>0,084</w:t>
            </w:r>
          </w:p>
        </w:tc>
        <w:tc>
          <w:tcPr>
            <w:tcW w:type="dxa" w:w="3135"/>
          </w:tcPr>
          <w:p>
            <w:r>
              <w:rPr>
                <w:rFonts w:ascii="Times New Roman" w:hAnsi="Times New Roman"/>
                <w:b w:val="0"/>
                <w:i w:val="0"/>
                <w:sz w:val="17"/>
              </w:rPr>
              <w:t>≤ 0,08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análise fatorial confirmatória testou a estrutura hipotetizada de seis fatores correlacionados (cada subescala com quatro itens). O ajuste foi aceitável, ainda que limítrofe: RMSEA = 0,080 e SRMR = 0,084 nos limiares de aceitação, com CFI = 0,86 e TLI = 0,84 pouco abaixo do valor de referência de 0,90. As cargas padronizadas foram, em geral, elevadas (depressão 0,71–0,87; raiva 0,71–0,85; fadiga até 0,91), com exceção de itens isolados ancorados no piso (na tensão, no vigor e na confusão), que apresentaram cargas baixas e explicam a parte do desajuste — coerente com a menor confiabilidade da tensão (Tabela 12). As correlações entre fatores reproduzem a estrutura afetiva esperada (vigor × fadiga = −0,55; depressão × confusão = +0,72). Cabe a ressalva metodológica de que as 457 observações são medidas repetidas aninhadas em 27 atletas — não independentes —, de modo que os índices devem ser lidos como aproximação confirmatória; ainda assim, sustentam a validade de construto do instrumento neste contexto, com a tensão como a dimensão mais frágil.</w:t>
      </w:r>
    </w:p>
    <w:p>
      <w:pPr>
        <w:spacing w:before="120" w:after="40"/>
        <w:jc w:val="left"/>
      </w:pPr>
      <w:r>
        <w:rPr>
          <w:rFonts w:ascii="Times New Roman" w:hAnsi="Times New Roman"/>
          <w:b/>
          <w:i w:val="0"/>
          <w:sz w:val="24"/>
        </w:rPr>
        <w:t>4.14 Discriminação (curva ROC) com e sem ruído: o efeito da filtragem</w:t>
      </w:r>
    </w:p>
    <w:p>
      <w:pPr>
        <w:spacing w:before="120" w:line="240" w:lineRule="auto"/>
        <w:jc w:val="left"/>
      </w:pPr>
      <w:r>
        <w:rPr>
          <w:rFonts w:ascii="Times New Roman" w:hAnsi="Times New Roman"/>
          <w:b w:val="0"/>
          <w:i w:val="0"/>
          <w:sz w:val="20"/>
        </w:rPr>
        <w:t>Tabela 16 – Área sob a curva ROC (AUC) na discriminação do último dia (Dia 7) versus a linha de base (Dia 1), com ruído (observações) e sem ruído (média diária filtrada), com IC95% bootstrap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Variável</w:t>
            </w:r>
          </w:p>
        </w:tc>
        <w:tc>
          <w:tcPr>
            <w:tcW w:type="dxa" w:w="3135"/>
          </w:tcPr>
          <w:p>
            <w:r>
              <w:rPr>
                <w:rFonts w:ascii="Times New Roman" w:hAnsi="Times New Roman"/>
                <w:b/>
                <w:i w:val="0"/>
                <w:sz w:val="17"/>
              </w:rPr>
              <w:t>AUC com ruído [IC95%]</w:t>
            </w:r>
          </w:p>
        </w:tc>
        <w:tc>
          <w:tcPr>
            <w:tcW w:type="dxa" w:w="3135"/>
          </w:tcPr>
          <w:p>
            <w:r>
              <w:rPr>
                <w:rFonts w:ascii="Times New Roman" w:hAnsi="Times New Roman"/>
                <w:b/>
                <w:i w:val="0"/>
                <w:sz w:val="17"/>
              </w:rPr>
              <w:t>AUC sem ruído [IC95%]</w:t>
            </w:r>
          </w:p>
        </w:tc>
      </w:tr>
      <w:tr>
        <w:tc>
          <w:tcPr>
            <w:tcW w:type="dxa" w:w="3135"/>
          </w:tcPr>
          <w:p>
            <w:r>
              <w:rPr>
                <w:rFonts w:ascii="Times New Roman" w:hAnsi="Times New Roman"/>
                <w:b w:val="0"/>
                <w:i w:val="0"/>
                <w:sz w:val="17"/>
              </w:rPr>
              <w:t>Vigor</w:t>
            </w:r>
          </w:p>
        </w:tc>
        <w:tc>
          <w:tcPr>
            <w:tcW w:type="dxa" w:w="3135"/>
          </w:tcPr>
          <w:p>
            <w:r>
              <w:rPr>
                <w:rFonts w:ascii="Times New Roman" w:hAnsi="Times New Roman"/>
                <w:b w:val="0"/>
                <w:i w:val="0"/>
                <w:sz w:val="17"/>
              </w:rPr>
              <w:t>0,74 [0,62; 0,85]</w:t>
            </w:r>
          </w:p>
        </w:tc>
        <w:tc>
          <w:tcPr>
            <w:tcW w:type="dxa" w:w="3135"/>
          </w:tcPr>
          <w:p>
            <w:r>
              <w:rPr>
                <w:rFonts w:ascii="Times New Roman" w:hAnsi="Times New Roman"/>
                <w:b w:val="0"/>
                <w:i w:val="0"/>
                <w:sz w:val="17"/>
              </w:rPr>
              <w:t>0,78 [0,64; 0,90]</w:t>
            </w:r>
          </w:p>
        </w:tc>
      </w:tr>
      <w:tr>
        <w:tc>
          <w:tcPr>
            <w:tcW w:type="dxa" w:w="3135"/>
          </w:tcPr>
          <w:p>
            <w:r>
              <w:rPr>
                <w:rFonts w:ascii="Times New Roman" w:hAnsi="Times New Roman"/>
                <w:b w:val="0"/>
                <w:i w:val="0"/>
                <w:sz w:val="17"/>
              </w:rPr>
              <w:t>Fadiga BRUMS</w:t>
            </w:r>
          </w:p>
        </w:tc>
        <w:tc>
          <w:tcPr>
            <w:tcW w:type="dxa" w:w="3135"/>
          </w:tcPr>
          <w:p>
            <w:r>
              <w:rPr>
                <w:rFonts w:ascii="Times New Roman" w:hAnsi="Times New Roman"/>
                <w:b w:val="0"/>
                <w:i w:val="0"/>
                <w:sz w:val="17"/>
              </w:rPr>
              <w:t>0,73 [0,61; 0,84]</w:t>
            </w:r>
          </w:p>
        </w:tc>
        <w:tc>
          <w:tcPr>
            <w:tcW w:type="dxa" w:w="3135"/>
          </w:tcPr>
          <w:p>
            <w:r>
              <w:rPr>
                <w:rFonts w:ascii="Times New Roman" w:hAnsi="Times New Roman"/>
                <w:b w:val="0"/>
                <w:i w:val="0"/>
                <w:sz w:val="17"/>
              </w:rPr>
              <w:t>0,73 [0,57; 0,87]</w:t>
            </w:r>
          </w:p>
        </w:tc>
      </w:tr>
      <w:tr>
        <w:tc>
          <w:tcPr>
            <w:tcW w:type="dxa" w:w="3135"/>
          </w:tcPr>
          <w:p>
            <w:r>
              <w:rPr>
                <w:rFonts w:ascii="Times New Roman" w:hAnsi="Times New Roman"/>
                <w:b w:val="0"/>
                <w:i w:val="0"/>
                <w:sz w:val="17"/>
              </w:rPr>
              <w:t>Fadiga física</w:t>
            </w:r>
          </w:p>
        </w:tc>
        <w:tc>
          <w:tcPr>
            <w:tcW w:type="dxa" w:w="3135"/>
          </w:tcPr>
          <w:p>
            <w:r>
              <w:rPr>
                <w:rFonts w:ascii="Times New Roman" w:hAnsi="Times New Roman"/>
                <w:b w:val="0"/>
                <w:i w:val="0"/>
                <w:sz w:val="17"/>
              </w:rPr>
              <w:t>0,85 [0,75; 0,92]</w:t>
            </w:r>
          </w:p>
        </w:tc>
        <w:tc>
          <w:tcPr>
            <w:tcW w:type="dxa" w:w="3135"/>
          </w:tcPr>
          <w:p>
            <w:r>
              <w:rPr>
                <w:rFonts w:ascii="Times New Roman" w:hAnsi="Times New Roman"/>
                <w:b w:val="0"/>
                <w:i w:val="0"/>
                <w:sz w:val="17"/>
              </w:rPr>
              <w:t>0,90 [0,80; 0,97]</w:t>
            </w:r>
          </w:p>
        </w:tc>
      </w:tr>
      <w:tr>
        <w:tc>
          <w:tcPr>
            <w:tcW w:type="dxa" w:w="3135"/>
          </w:tcPr>
          <w:p>
            <w:r>
              <w:rPr>
                <w:rFonts w:ascii="Times New Roman" w:hAnsi="Times New Roman"/>
                <w:b w:val="0"/>
                <w:i w:val="0"/>
                <w:sz w:val="17"/>
              </w:rPr>
              <w:t>Fadiga mental</w:t>
            </w:r>
          </w:p>
        </w:tc>
        <w:tc>
          <w:tcPr>
            <w:tcW w:type="dxa" w:w="3135"/>
          </w:tcPr>
          <w:p>
            <w:r>
              <w:rPr>
                <w:rFonts w:ascii="Times New Roman" w:hAnsi="Times New Roman"/>
                <w:b w:val="0"/>
                <w:i w:val="0"/>
                <w:sz w:val="17"/>
              </w:rPr>
              <w:t>0,52 [0,39; 0,66]</w:t>
            </w:r>
          </w:p>
        </w:tc>
        <w:tc>
          <w:tcPr>
            <w:tcW w:type="dxa" w:w="3135"/>
          </w:tcPr>
          <w:p>
            <w:r>
              <w:rPr>
                <w:rFonts w:ascii="Times New Roman" w:hAnsi="Times New Roman"/>
                <w:b w:val="0"/>
                <w:i w:val="0"/>
                <w:sz w:val="17"/>
              </w:rPr>
              <w:t>0,54 [0,36; 0,70]</w:t>
            </w:r>
          </w:p>
        </w:tc>
      </w:tr>
      <w:tr>
        <w:tc>
          <w:tcPr>
            <w:tcW w:type="dxa" w:w="3135"/>
          </w:tcPr>
          <w:p>
            <w:r>
              <w:rPr>
                <w:rFonts w:ascii="Times New Roman" w:hAnsi="Times New Roman"/>
                <w:b w:val="0"/>
                <w:i w:val="0"/>
                <w:sz w:val="17"/>
              </w:rPr>
              <w:t>PTH/TMD</w:t>
            </w:r>
          </w:p>
        </w:tc>
        <w:tc>
          <w:tcPr>
            <w:tcW w:type="dxa" w:w="3135"/>
          </w:tcPr>
          <w:p>
            <w:r>
              <w:rPr>
                <w:rFonts w:ascii="Times New Roman" w:hAnsi="Times New Roman"/>
                <w:b w:val="0"/>
                <w:i w:val="0"/>
                <w:sz w:val="17"/>
              </w:rPr>
              <w:t>0,66 [0,54; 0,77]</w:t>
            </w:r>
          </w:p>
        </w:tc>
        <w:tc>
          <w:tcPr>
            <w:tcW w:type="dxa" w:w="3135"/>
          </w:tcPr>
          <w:p>
            <w:r>
              <w:rPr>
                <w:rFonts w:ascii="Times New Roman" w:hAnsi="Times New Roman"/>
                <w:b w:val="0"/>
                <w:i w:val="0"/>
                <w:sz w:val="17"/>
              </w:rPr>
              <w:t>0,66 [0,50; 0,80]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curva ROC quantifica o quanto cada variável distingue uma observação do último dia de uma observação da linha de base. Com os dados brutos (observações individuais, com ruído), a fadiga física já é o melhor discriminador (AUC = 0,85), seguida do vigor (0,74) e da fadiga do BRUMS (0,73); a fadiga mental fica no acaso (0,52). Ao filtrar o ruído — tomando a média das coletas do dia —, a discriminação melhora nas variáveis responsivas: a fadiga física sobe para AUC = 0,90 e o vigor para 0,78 (Figura 9), enquanto as variáveis sem sinal (fadiga mental, PTH) não se beneficiam, como esperado. Isso demonstra, de forma direta, que a filtragem do ruído aumenta o poder discriminativo apenas onde há sinal a recuperar, e reforça o uso de médias de coletas para a decisão.</w:t>
      </w:r>
    </w:p>
    <w:p>
      <w:pPr>
        <w:spacing w:before="120" w:line="240" w:lineRule="auto"/>
        <w:jc w:val="center"/>
      </w:pPr>
      <w:r>
        <w:rPr>
          <w:rFonts w:ascii="Times New Roman" w:hAnsi="Times New Roman"/>
          <w:b w:val="0"/>
          <w:i w:val="0"/>
          <w:sz w:val="20"/>
        </w:rPr>
        <w:t>Figura 10 – Curvas ROC (Dia 7 vs Dia 1) com ruído (cinza, observações) e sem ruído (colorido, média diária filtrada)</w:t>
      </w:r>
    </w:p>
    <w:p>
      <w:pPr>
        <w:jc w:val="center"/>
      </w:pPr>
      <w:r>
        <w:drawing>
          <wp:inline xmlns:a="http://schemas.openxmlformats.org/drawingml/2006/main" xmlns:pic="http://schemas.openxmlformats.org/drawingml/2006/picture">
            <wp:extent cx="5120640" cy="2880360"/>
            <wp:docPr id="20" name="Picture 20"/>
            <wp:cNvGraphicFramePr>
              <a:graphicFrameLocks noChangeAspect="1"/>
            </wp:cNvGraphicFramePr>
            <a:graphic>
              <a:graphicData uri="http://schemas.openxmlformats.org/drawingml/2006/picture">
                <pic:pic>
                  <pic:nvPicPr>
                    <pic:cNvPr id="0" name="x_roc.png"/>
                    <pic:cNvPicPr/>
                  </pic:nvPicPr>
                  <pic:blipFill>
                    <a:blip r:embed="rId2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4.15 Ajuste alométrico: forma da acumulação e escalonamento pela aptidão</w:t>
      </w:r>
    </w:p>
    <w:p>
      <w:pPr>
        <w:spacing w:before="120" w:line="240" w:lineRule="auto"/>
        <w:jc w:val="left"/>
      </w:pPr>
      <w:r>
        <w:rPr>
          <w:rFonts w:ascii="Times New Roman" w:hAnsi="Times New Roman"/>
          <w:b w:val="0"/>
          <w:i w:val="0"/>
          <w:sz w:val="20"/>
        </w:rPr>
        <w:t>Tabela 17 – Ajuste alométrico (potência) da trajetória de fadiga, Y = a · diaᵇ, e comparação de AIC (potência / linear)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a</w:t>
            </w:r>
          </w:p>
        </w:tc>
        <w:tc>
          <w:tcPr>
            <w:tcW w:type="dxa" w:w="1881"/>
          </w:tcPr>
          <w:p>
            <w:r>
              <w:rPr>
                <w:rFonts w:ascii="Times New Roman" w:hAnsi="Times New Roman"/>
                <w:b/>
                <w:i w:val="0"/>
                <w:sz w:val="17"/>
              </w:rPr>
              <w:t>b (expoente)</w:t>
            </w:r>
          </w:p>
        </w:tc>
        <w:tc>
          <w:tcPr>
            <w:tcW w:type="dxa" w:w="1881"/>
          </w:tcPr>
          <w:p>
            <w:r>
              <w:rPr>
                <w:rFonts w:ascii="Times New Roman" w:hAnsi="Times New Roman"/>
                <w:b/>
                <w:i w:val="0"/>
                <w:sz w:val="17"/>
              </w:rPr>
              <w:t>R²</w:t>
            </w:r>
          </w:p>
        </w:tc>
        <w:tc>
          <w:tcPr>
            <w:tcW w:type="dxa" w:w="1881"/>
          </w:tcPr>
          <w:p>
            <w:r>
              <w:rPr>
                <w:rFonts w:ascii="Times New Roman" w:hAnsi="Times New Roman"/>
                <w:b/>
                <w:i w:val="0"/>
                <w:sz w:val="17"/>
              </w:rPr>
              <w:t>AIC pot./lin.</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4,34</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0,88</w:t>
            </w:r>
          </w:p>
        </w:tc>
        <w:tc>
          <w:tcPr>
            <w:tcW w:type="dxa" w:w="1881"/>
          </w:tcPr>
          <w:p>
            <w:r>
              <w:rPr>
                <w:rFonts w:ascii="Times New Roman" w:hAnsi="Times New Roman"/>
                <w:b w:val="0"/>
                <w:i w:val="0"/>
                <w:sz w:val="17"/>
              </w:rPr>
              <w:t>-10,5 / -9,4</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3,99</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0,76</w:t>
            </w:r>
          </w:p>
        </w:tc>
        <w:tc>
          <w:tcPr>
            <w:tcW w:type="dxa" w:w="1881"/>
          </w:tcPr>
          <w:p>
            <w:r>
              <w:rPr>
                <w:rFonts w:ascii="Times New Roman" w:hAnsi="Times New Roman"/>
                <w:b w:val="0"/>
                <w:i w:val="0"/>
                <w:sz w:val="17"/>
              </w:rPr>
              <w:t>-5,3 / -6,9</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2,59</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12,3 / 11,0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acumulação da fadiga ao longo da semana foi modelada por uma função de potência (alométrica) Y = a·diaᵇ, cujo expoente b resume a forma do crescimento (b &gt; 1 acelera; b &lt; 1 desacelera/satura). Para a fadiga física, o ajuste é bom (a = 4,34; b = 0,24; R² = 0,88) e supera o linear por AIC, indicando um crescimento sublinear em média — rápido no início e mais lento no miolo da semana (Figura 10, escala log-log) —, sobre o qual se sobrepõe a precipitação do Dia 7 que apenas o modelo cúbico captura integralmente. Complementarmente, a aptidão aeróbia foi escalonada alometricamente pela massa corporal (pico de velocidade do T-CAR = a·massa^(−0,19)); a aptidão bruta associa-se negativamente à fadiga média da semana (ρ = −0,49; p = 0,014) — atletas mais aptos fatigam menos —, mas essa associação enfraquece após o escalonamento alométrico (ρ = −0,31; p = 0,135), sugerindo que parte do efeito protetor da aptidão é explicada pelo porte corporal.</w:t>
      </w:r>
    </w:p>
    <w:p>
      <w:pPr>
        <w:spacing w:before="120" w:line="240" w:lineRule="auto"/>
        <w:jc w:val="center"/>
      </w:pPr>
      <w:r>
        <w:rPr>
          <w:rFonts w:ascii="Times New Roman" w:hAnsi="Times New Roman"/>
          <w:b w:val="0"/>
          <w:i w:val="0"/>
          <w:sz w:val="20"/>
        </w:rPr>
        <w:t>Figura 11 – Ajuste alométrico (potência) da trajetória de fadiga em escala linear e log-log</w:t>
      </w:r>
    </w:p>
    <w:p>
      <w:pPr>
        <w:jc w:val="center"/>
      </w:pPr>
      <w:r>
        <w:drawing>
          <wp:inline xmlns:a="http://schemas.openxmlformats.org/drawingml/2006/main" xmlns:pic="http://schemas.openxmlformats.org/drawingml/2006/picture">
            <wp:extent cx="4937760" cy="2777490"/>
            <wp:docPr id="21" name="Picture 21"/>
            <wp:cNvGraphicFramePr>
              <a:graphicFrameLocks noChangeAspect="1"/>
            </wp:cNvGraphicFramePr>
            <a:graphic>
              <a:graphicData uri="http://schemas.openxmlformats.org/drawingml/2006/picture">
                <pic:pic>
                  <pic:nvPicPr>
                    <pic:cNvPr id="0" name="x_allo.png"/>
                    <pic:cNvPicPr/>
                  </pic:nvPicPr>
                  <pic:blipFill>
                    <a:blip r:embed="rId2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4.16 Normalização alométrica por massa corporal e por pico de velocidade</w:t>
      </w:r>
    </w:p>
    <w:p>
      <w:pPr>
        <w:spacing w:before="120" w:line="240" w:lineRule="auto"/>
        <w:jc w:val="left"/>
      </w:pPr>
      <w:r>
        <w:rPr>
          <w:rFonts w:ascii="Times New Roman" w:hAnsi="Times New Roman"/>
          <w:b w:val="0"/>
          <w:i w:val="0"/>
          <w:sz w:val="20"/>
        </w:rPr>
        <w:t>Tabela 18 – Normalização alométrica: expoentes (b) da relação de potência com a massa corporal e com o pico de velocidade do T-CAR, e correlação bruta (Spearman ρ) com cada covariável (* p &lt; 0,05)</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b (massa)</w:t>
            </w:r>
          </w:p>
        </w:tc>
        <w:tc>
          <w:tcPr>
            <w:tcW w:type="dxa" w:w="1881"/>
          </w:tcPr>
          <w:p>
            <w:r>
              <w:rPr>
                <w:rFonts w:ascii="Times New Roman" w:hAnsi="Times New Roman"/>
                <w:b/>
                <w:i w:val="0"/>
                <w:sz w:val="17"/>
              </w:rPr>
              <w:t>ρ massa</w:t>
            </w:r>
          </w:p>
        </w:tc>
        <w:tc>
          <w:tcPr>
            <w:tcW w:type="dxa" w:w="1881"/>
          </w:tcPr>
          <w:p>
            <w:r>
              <w:rPr>
                <w:rFonts w:ascii="Times New Roman" w:hAnsi="Times New Roman"/>
                <w:b/>
                <w:i w:val="0"/>
                <w:sz w:val="17"/>
              </w:rPr>
              <w:t>b (PV)</w:t>
            </w:r>
          </w:p>
        </w:tc>
        <w:tc>
          <w:tcPr>
            <w:tcW w:type="dxa" w:w="1881"/>
          </w:tcPr>
          <w:p>
            <w:r>
              <w:rPr>
                <w:rFonts w:ascii="Times New Roman" w:hAnsi="Times New Roman"/>
                <w:b/>
                <w:i w:val="0"/>
                <w:sz w:val="17"/>
              </w:rPr>
              <w:t>ρ PV</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+0,58</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-1,62</w:t>
            </w:r>
          </w:p>
        </w:tc>
        <w:tc>
          <w:tcPr>
            <w:tcW w:type="dxa" w:w="1881"/>
          </w:tcPr>
          <w:p>
            <w:r>
              <w:rPr>
                <w:rFonts w:ascii="Times New Roman" w:hAnsi="Times New Roman"/>
                <w:b w:val="0"/>
                <w:i w:val="0"/>
                <w:sz w:val="17"/>
              </w:rPr>
              <w:t>-0,52*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+1,27</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-1,44</w:t>
            </w:r>
          </w:p>
        </w:tc>
        <w:tc>
          <w:tcPr>
            <w:tcW w:type="dxa" w:w="1881"/>
          </w:tcPr>
          <w:p>
            <w:r>
              <w:rPr>
                <w:rFonts w:ascii="Times New Roman" w:hAnsi="Times New Roman"/>
                <w:b w:val="0"/>
                <w:i w:val="0"/>
                <w:sz w:val="17"/>
              </w:rPr>
              <w:t>-0,32</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-0,00</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-4,18</w:t>
            </w:r>
          </w:p>
        </w:tc>
        <w:tc>
          <w:tcPr>
            <w:tcW w:type="dxa" w:w="1881"/>
          </w:tcPr>
          <w:p>
            <w:r>
              <w:rPr>
                <w:rFonts w:ascii="Times New Roman" w:hAnsi="Times New Roman"/>
                <w:b w:val="0"/>
                <w:i w:val="0"/>
                <w:sz w:val="17"/>
              </w:rPr>
              <w:t>-0,22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+0,15</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+2,18</w:t>
            </w:r>
          </w:p>
        </w:tc>
        <w:tc>
          <w:tcPr>
            <w:tcW w:type="dxa" w:w="1881"/>
          </w:tcPr>
          <w:p>
            <w:r>
              <w:rPr>
                <w:rFonts w:ascii="Times New Roman" w:hAnsi="Times New Roman"/>
                <w:b w:val="0"/>
                <w:i w:val="0"/>
                <w:sz w:val="17"/>
              </w:rPr>
              <w:t>+0,48*</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19 – Valores brutos e alometricamente normalizados (por massaᵇ e por PVᵇ) da média semanal por atleta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Bruto (M ± DP)</w:t>
            </w:r>
          </w:p>
        </w:tc>
        <w:tc>
          <w:tcPr>
            <w:tcW w:type="dxa" w:w="2351"/>
          </w:tcPr>
          <w:p>
            <w:r>
              <w:rPr>
                <w:rFonts w:ascii="Times New Roman" w:hAnsi="Times New Roman"/>
                <w:b/>
                <w:i w:val="0"/>
                <w:sz w:val="17"/>
              </w:rPr>
              <w:t>Normalizado /massaᵇ</w:t>
            </w:r>
          </w:p>
        </w:tc>
        <w:tc>
          <w:tcPr>
            <w:tcW w:type="dxa" w:w="2351"/>
          </w:tcPr>
          <w:p>
            <w:r>
              <w:rPr>
                <w:rFonts w:ascii="Times New Roman" w:hAnsi="Times New Roman"/>
                <w:b/>
                <w:i w:val="0"/>
                <w:sz w:val="17"/>
              </w:rPr>
              <w:t>Normalizado /PVᵇ</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5,87 ± 1,55</w:t>
            </w:r>
          </w:p>
        </w:tc>
        <w:tc>
          <w:tcPr>
            <w:tcW w:type="dxa" w:w="2351"/>
          </w:tcPr>
          <w:p>
            <w:r>
              <w:rPr>
                <w:rFonts w:ascii="Times New Roman" w:hAnsi="Times New Roman"/>
                <w:b w:val="0"/>
                <w:i w:val="0"/>
                <w:sz w:val="17"/>
              </w:rPr>
              <w:t>0,449 ± 0,113</w:t>
            </w:r>
          </w:p>
        </w:tc>
        <w:tc>
          <w:tcPr>
            <w:tcW w:type="dxa" w:w="2351"/>
          </w:tcPr>
          <w:p>
            <w:r>
              <w:rPr>
                <w:rFonts w:ascii="Times New Roman" w:hAnsi="Times New Roman"/>
                <w:b w:val="0"/>
                <w:i w:val="0"/>
                <w:sz w:val="17"/>
              </w:rPr>
              <w:t>458,790 ± 106,396</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5,38 ± 3,14</w:t>
            </w:r>
          </w:p>
        </w:tc>
        <w:tc>
          <w:tcPr>
            <w:tcW w:type="dxa" w:w="2351"/>
          </w:tcPr>
          <w:p>
            <w:r>
              <w:rPr>
                <w:rFonts w:ascii="Times New Roman" w:hAnsi="Times New Roman"/>
                <w:b w:val="0"/>
                <w:i w:val="0"/>
                <w:sz w:val="17"/>
              </w:rPr>
              <w:t>0,019 ± 0,011</w:t>
            </w:r>
          </w:p>
        </w:tc>
        <w:tc>
          <w:tcPr>
            <w:tcW w:type="dxa" w:w="2351"/>
          </w:tcPr>
          <w:p>
            <w:r>
              <w:rPr>
                <w:rFonts w:ascii="Times New Roman" w:hAnsi="Times New Roman"/>
                <w:b w:val="0"/>
                <w:i w:val="0"/>
                <w:sz w:val="17"/>
              </w:rPr>
              <w:t>260,999 ± 141,621</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4,81 ± 7,59</w:t>
            </w:r>
          </w:p>
        </w:tc>
        <w:tc>
          <w:tcPr>
            <w:tcW w:type="dxa" w:w="2351"/>
          </w:tcPr>
          <w:p>
            <w:r>
              <w:rPr>
                <w:rFonts w:ascii="Times New Roman" w:hAnsi="Times New Roman"/>
                <w:b w:val="0"/>
                <w:i w:val="0"/>
                <w:sz w:val="17"/>
              </w:rPr>
              <w:t>4,817 ± 7,595</w:t>
            </w:r>
          </w:p>
        </w:tc>
        <w:tc>
          <w:tcPr>
            <w:tcW w:type="dxa" w:w="2351"/>
          </w:tcPr>
          <w:p>
            <w:r>
              <w:rPr>
                <w:rFonts w:ascii="Times New Roman" w:hAnsi="Times New Roman"/>
                <w:b w:val="0"/>
                <w:i w:val="0"/>
                <w:sz w:val="17"/>
              </w:rPr>
              <w:t>366924,098 ± 566173,339</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5,48 ± 2,52</w:t>
            </w:r>
          </w:p>
        </w:tc>
        <w:tc>
          <w:tcPr>
            <w:tcW w:type="dxa" w:w="2351"/>
          </w:tcPr>
          <w:p>
            <w:r>
              <w:rPr>
                <w:rFonts w:ascii="Times New Roman" w:hAnsi="Times New Roman"/>
                <w:b w:val="0"/>
                <w:i w:val="0"/>
                <w:sz w:val="17"/>
              </w:rPr>
              <w:t>2,838 ± 1,308</w:t>
            </w:r>
          </w:p>
        </w:tc>
        <w:tc>
          <w:tcPr>
            <w:tcW w:type="dxa" w:w="2351"/>
          </w:tcPr>
          <w:p>
            <w:r>
              <w:rPr>
                <w:rFonts w:ascii="Times New Roman" w:hAnsi="Times New Roman"/>
                <w:b w:val="0"/>
                <w:i w:val="0"/>
                <w:sz w:val="17"/>
              </w:rPr>
              <w:t>0,015 ± 0,007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normalização alométrica ajusta cada variável pela covariável elevada a um expoente estimado (Y/massaᵇ e Y/PVᵇ), removendo a dependência de tamanho ou de aptidão. Pela massa corporal, os expoentes não atingiram significância e as correlações brutas foram fracas (fadiga física ρ = +0,35; demais ≤ 0,34), indicando que as variáveis de humor e fadiga são essencialmente independentes do porte corporal — a normalização por massa, portanto, é dispensável neste contexto. Já pela aptidão aeróbia (pico de velocidade do T-CAR), evidenciou-se um gradiente claro: atletas mais aptos apresentaram menor fadiga física (ρ = −0,52; p &lt; 0,05) e maior vigor (ρ = +0,48; p &lt; 0,05), com expoentes alométricos negativos para as fadigas e positivo para o vigor (Figura 11). Isso indica que a aptidão é protetora contra a fadiga do microciclo, e que o pico de velocidade — não a massa — é a covariável relevante para individualizar a interpretação das cargas psicométricas. A normalização por PVᵇ produz, assim, um índice de fadiga ajustado à aptidão, útil para comparar atletas de capacidades distintas.</w:t>
      </w:r>
    </w:p>
    <w:p>
      <w:pPr>
        <w:spacing w:before="120" w:line="240" w:lineRule="auto"/>
        <w:jc w:val="center"/>
      </w:pPr>
      <w:r>
        <w:rPr>
          <w:rFonts w:ascii="Times New Roman" w:hAnsi="Times New Roman"/>
          <w:b w:val="0"/>
          <w:i w:val="0"/>
          <w:sz w:val="20"/>
        </w:rPr>
        <w:t>Figura 12 – Relações alométricas (log-log) das variáveis com a massa corporal (esquerda) e com o pico de velocidade (direita)</w:t>
      </w:r>
    </w:p>
    <w:p>
      <w:pPr>
        <w:jc w:val="center"/>
      </w:pPr>
      <w:r>
        <w:drawing>
          <wp:inline xmlns:a="http://schemas.openxmlformats.org/drawingml/2006/main" xmlns:pic="http://schemas.openxmlformats.org/drawingml/2006/picture">
            <wp:extent cx="5120640" cy="2720340"/>
            <wp:docPr id="22" name="Picture 22"/>
            <wp:cNvGraphicFramePr>
              <a:graphicFrameLocks noChangeAspect="1"/>
            </wp:cNvGraphicFramePr>
            <a:graphic>
              <a:graphicData uri="http://schemas.openxmlformats.org/drawingml/2006/picture">
                <pic:pic>
                  <pic:nvPicPr>
                    <pic:cNvPr id="0" name="x_allonorm.png"/>
                    <pic:cNvPicPr/>
                  </pic:nvPicPr>
                  <pic:blipFill>
                    <a:blip r:embed="rId30"/>
                    <a:stretch>
                      <a:fillRect/>
                    </a:stretch>
                  </pic:blipFill>
                  <pic:spPr>
                    <a:xfrm>
                      <a:off x="0" y="0"/>
                      <a:ext cx="5120640" cy="27203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