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60"/>
        <w:jc w:val="both"/>
      </w:pPr>
      <w:r>
        <w:rPr>
          <w:rFonts w:ascii="Palatino Linotype" w:hAnsi="Palatino Linotype"/>
          <w:b w:val="0"/>
          <w:i/>
          <w:color w:val="666666"/>
          <w:sz w:val="16"/>
        </w:rPr>
        <w:t>Citation: [Autores]. [Título]. Sports 2026, [vol], [artigo]. Received: [data]; Accepted: [data]; Published: [data]. © 2026 pelos autores. Licenciado sob CC BY 4.0.</w:t>
      </w:r>
    </w:p>
    <w:p>
      <w:pPr>
        <w:spacing w:after="80"/>
      </w:pPr>
      <w:r>
        <w:rPr>
          <w:rFonts w:ascii="Palatino Linotype" w:hAnsi="Palatino Linotype"/>
          <w:b/>
          <w:i/>
          <w:sz w:val="30"/>
        </w:rPr>
        <w:t>Sports</w:t>
      </w:r>
      <w:r>
        <w:rPr>
          <w:rFonts w:ascii="Palatino Linotype" w:hAnsi="Palatino Linotype"/>
          <w:b/>
          <w:sz w:val="22"/>
        </w:rPr>
        <w:t xml:space="preserve">    Article</w:t>
      </w:r>
    </w:p>
    <w:p>
      <w:pPr>
        <w:spacing w:after="120"/>
      </w:pPr>
      <w:r>
        <w:rPr>
          <w:rFonts w:ascii="Palatino Linotype" w:hAnsi="Palatino Linotype"/>
          <w:b/>
          <w:sz w:val="32"/>
        </w:rPr>
        <w:t>Dinâmica do Humor em um Microciclo Pré-Competitivo de Handebol de Elite: Perfis de Humor e o Eixo Energia–Fadiga</w:t>
      </w:r>
    </w:p>
    <w:p>
      <w:pPr>
        <w:spacing w:after="80"/>
      </w:pPr>
      <w:r>
        <w:rPr>
          <w:rFonts w:ascii="Palatino Linotype" w:hAnsi="Palatino Linotype"/>
          <w:sz w:val="22"/>
        </w:rPr>
        <w:t xml:space="preserve">[Autor 1] </w:t>
      </w:r>
      <w:r>
        <w:rPr>
          <w:rFonts w:ascii="Palatino Linotype" w:hAnsi="Palatino Linotype"/>
          <w:sz w:val="22"/>
          <w:vertAlign w:val="superscript"/>
        </w:rPr>
        <w:t>1,*</w:t>
      </w:r>
      <w:r>
        <w:rPr>
          <w:rFonts w:ascii="Palatino Linotype" w:hAnsi="Palatino Linotype"/>
          <w:sz w:val="22"/>
        </w:rPr>
        <w:t xml:space="preserve">, [Autor 2] </w:t>
      </w:r>
      <w:r>
        <w:rPr>
          <w:rFonts w:ascii="Palatino Linotype" w:hAnsi="Palatino Linotype"/>
          <w:sz w:val="22"/>
          <w:vertAlign w:val="superscript"/>
        </w:rPr>
        <w:t>2</w:t>
      </w:r>
      <w:r>
        <w:rPr>
          <w:rFonts w:ascii="Palatino Linotype" w:hAnsi="Palatino Linotype"/>
          <w:sz w:val="22"/>
        </w:rPr>
        <w:t xml:space="preserve">, [Autor 3] </w:t>
      </w:r>
      <w:r>
        <w:rPr>
          <w:rFonts w:ascii="Palatino Linotype" w:hAnsi="Palatino Linotype"/>
          <w:sz w:val="22"/>
          <w:vertAlign w:val="superscript"/>
        </w:rPr>
        <w:t>3</w:t>
      </w:r>
    </w:p>
    <w:p>
      <w:pPr>
        <w:spacing w:after="0"/>
      </w:pPr>
      <w:r>
        <w:rPr>
          <w:rFonts w:ascii="Palatino Linotype" w:hAnsi="Palatino Linotype"/>
          <w:sz w:val="16"/>
          <w:vertAlign w:val="superscript"/>
        </w:rPr>
        <w:t>1</w:t>
      </w:r>
      <w:r>
        <w:rPr>
          <w:rFonts w:ascii="Palatino Linotype" w:hAnsi="Palatino Linotype"/>
          <w:sz w:val="16"/>
        </w:rPr>
        <w:t xml:space="preserve"> [Afiliação 1: departamento, instituição, cidade, país; e-mail]</w:t>
      </w:r>
    </w:p>
    <w:p>
      <w:pPr>
        <w:spacing w:after="0"/>
      </w:pPr>
      <w:r>
        <w:rPr>
          <w:rFonts w:ascii="Palatino Linotype" w:hAnsi="Palatino Linotype"/>
          <w:sz w:val="16"/>
          <w:vertAlign w:val="superscript"/>
        </w:rPr>
        <w:t>2</w:t>
      </w:r>
      <w:r>
        <w:rPr>
          <w:rFonts w:ascii="Palatino Linotype" w:hAnsi="Palatino Linotype"/>
          <w:sz w:val="16"/>
        </w:rPr>
        <w:t xml:space="preserve"> [Afiliação 2: departamento, instituição, cidade, país; e-mail]</w:t>
      </w:r>
    </w:p>
    <w:p>
      <w:pPr>
        <w:spacing w:after="0"/>
      </w:pPr>
      <w:r>
        <w:rPr>
          <w:rFonts w:ascii="Palatino Linotype" w:hAnsi="Palatino Linotype"/>
          <w:sz w:val="16"/>
          <w:vertAlign w:val="superscript"/>
        </w:rPr>
        <w:t>3</w:t>
      </w:r>
      <w:r>
        <w:rPr>
          <w:rFonts w:ascii="Palatino Linotype" w:hAnsi="Palatino Linotype"/>
          <w:sz w:val="16"/>
        </w:rPr>
        <w:t xml:space="preserve"> [Afiliação 3: departamento, instituição, cidade, país; e-mail]</w:t>
      </w:r>
    </w:p>
    <w:p>
      <w:pPr>
        <w:spacing w:after="160"/>
      </w:pPr>
      <w:r>
        <w:rPr>
          <w:rFonts w:ascii="Palatino Linotype" w:hAnsi="Palatino Linotype"/>
          <w:sz w:val="16"/>
        </w:rPr>
        <w:t>*</w:t>
      </w:r>
      <w:r>
        <w:rPr>
          <w:rFonts w:ascii="Palatino Linotype" w:hAnsi="Palatino Linotype"/>
          <w:sz w:val="16"/>
        </w:rPr>
        <w:t xml:space="preserve"> Correspondência: [e-mail do autor correspondente]</w:t>
      </w:r>
    </w:p>
    <w:p>
      <w:pPr>
        <w:spacing w:line="276" w:lineRule="auto" w:after="80"/>
        <w:ind w:firstLine="283"/>
        <w:jc w:val="both"/>
      </w:pPr>
      <w:r>
        <w:rPr>
          <w:rFonts w:ascii="Palatino Linotype" w:hAnsi="Palatino Linotype"/>
          <w:b/>
          <w:sz w:val="20"/>
        </w:rPr>
        <w:t xml:space="preserve">Resumo: </w:t>
      </w:r>
      <w:r>
        <w:rPr>
          <w:rFonts w:ascii="Palatino Linotype" w:hAnsi="Palatino Linotype"/>
          <w:b w:val="0"/>
          <w:sz w:val="20"/>
        </w:rPr>
        <w:t>Objetivo: descrever a dinâmica do humor de atletas de handebol de elite ao longo de um microciclo pré-competitivo, com ênfase nos perfis de humor e no eixo energia–fadiga. Método: 27 atletas do sexo masculino responderam à Escala de Humor de Brunel (BRUMS-24) durante sete dias, com uma coleta de linha de base e duas coletas diárias (pré e pós-treino) nos seis dias de treino, e um total de 286 observações. Aplicaram-se estatística descritiva, consistência interna, classificação dos seis perfis de humor e comparação entre dias e entre pré e pós-treino, sempre com o cálculo do tamanho e da magnitude do efeito. Resultados: a deterioração concentrou-se no eixo energia–fadiga, com o vigor em queda e a fadiga em elevação do primeiro para o último dia, com efeito grande (d = -1,33 e d = 0,78) e confirmação multivariada (Wilks λ = 0,181). A prevalência dos perfis deslocou-se do iceberg (48% no primeiro dia) para a barbatana de tubarão (22% no último dia), com aumento da chance desse perfil a cada dia (OR = 1,37). Conclusão: o humor migrou da prontidão para a fadiga funcional, em um padrão compatível com sobre-esforço funcional, o que recomenda centrar o monitoramento no par vigor–fadiga.</w:t>
      </w:r>
    </w:p>
    <w:p>
      <w:pPr>
        <w:spacing w:line="276" w:lineRule="auto" w:after="160"/>
        <w:jc w:val="both"/>
      </w:pPr>
      <w:r>
        <w:rPr>
          <w:rFonts w:ascii="Palatino Linotype" w:hAnsi="Palatino Linotype"/>
          <w:b/>
          <w:sz w:val="20"/>
        </w:rPr>
        <w:t xml:space="preserve">Palavras-chave: </w:t>
      </w:r>
      <w:r>
        <w:rPr>
          <w:rFonts w:ascii="Palatino Linotype" w:hAnsi="Palatino Linotype"/>
          <w:b w:val="0"/>
          <w:sz w:val="20"/>
        </w:rPr>
        <w:t>humor; BRUMS; handebol; perfis de humor; fadiga; monitoramento do atleta</w:t>
      </w:r>
    </w:p>
    <w:p>
      <w:pPr>
        <w:spacing w:before="160" w:after="60" w:line="276" w:lineRule="auto"/>
      </w:pPr>
      <w:r>
        <w:rPr>
          <w:rFonts w:ascii="Palatino Linotype" w:hAnsi="Palatino Linotype"/>
          <w:b/>
          <w:sz w:val="20"/>
        </w:rPr>
        <w:t>1. Introdução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 monitoramento do estado psicológico consolidou-se como parte da gestão do treinamento no esporte de rendimento. Os instrumentos de autorrelato do humor são práticos, econômicos e sensíveis às variações da carga, e mostram utilidade para o acompanhamento do bem-estar e do desempenho [1,2]. Por esse motivo, documentos de consenso recomendam o seu uso rotineiro para vigiar a fadiga e orientar as decisões de treino e recuperação [3]. Entre as dimensões avaliadas, o vigor e a fadiga formam o eixo mais responsivo à carga e sustentam boa parte do valor prático do monitoramento.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Escala de Humor de Brunel (BRUMS) mede seis dimensões do humor, a saber, tensão, depressão, raiva, vigor, fadiga e confusão, e dispõe de validação para o português [4,5]. A partir dessas dimensões, Terry e colaboradores descreveram seis perfis de humor que resumem o estado do atleta em um único quadro, entre os quais o perfil iceberg, que exprime prontidão, e a barbatana de tubarão, que sinaliza fadiga com vigor ainda preservado [6–8]. A leitura por perfis aproxima o dado psicométrico da linguagem do treinador e facilita a tomada de decisão [9].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 handebol é uma modalidade coletiva intermitente de alta intensidade, com sprints curtos, mudanças de direção, saltos e contato físico, o que impõe elevada demanda neuromuscular e psicofisiológica ao longo da semana de treino [10,11]. Nesse contexto, a acumulação de carga tende a corroer o vigor e a elevar a fadiga, um padrão que, quando controlado, caracteriza o sobre-esforço funcional e antecede a recuperação planejada [12,13]. O acompanhamento do humor oferece, assim, um marcador sensível e de baixo custo para essa janela.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Apesar do interesse crescente, poucos estudos descrevem a migração dos perfis de humor dentro de um microciclo de handebol de elite, com coletas pré e pós-treino que capturam também a variação dentro do dia [14]. O objetivo deste estudo foi descrever e caracterizar a dinâmica do humor de atletas de handebol de elite ao longo de um microciclo pré-competitivo, com destaque para o comportamento dos seis perfis de humor, para a mudança entre o primeiro e o último dia, para a variação entre pré e pós-treino e para a magnitude dos efeitos ao longo da semana.</w:t>
      </w:r>
    </w:p>
    <w:p>
      <w:pPr>
        <w:spacing w:before="160" w:after="60" w:line="276" w:lineRule="auto"/>
      </w:pPr>
      <w:r>
        <w:rPr>
          <w:rFonts w:ascii="Palatino Linotype" w:hAnsi="Palatino Linotype"/>
          <w:b/>
          <w:sz w:val="20"/>
        </w:rPr>
        <w:t>2. Materiais e Métodos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2.1. Participantes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Participaram 27 atletas de handebol do sexo masculino, de nível de elite (idade de 22,0 ± 3,8 anos; 10,5 ± 3,8 anos de prática), das posições de armador, ala, pivô e goleiro. Todos treinavam regularmente no clube e estavam aptos no período do estudo.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2.2. Instrumento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 humor foi avaliado pela BRUMS-24, que reúne seis dimensões (tensão, depressão, raiva, vigor, fadiga e confusão) com escores de 0 a 16, a partir das quais se calculou também a perturbação total do humor (PTH). O instrumento dispõe de validação e de propriedades psicométricas descritas para atletas brasileiros [4,5].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2.3. Procedimento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 delineamento cobriu sete dias de um microciclo pré-competitivo, com uma coleta de linha de base no primeiro dia e duas coletas diárias, uma antes e outra depois do treino, nos seis dias subsequentes, o que totalizou 286 observações. As coletas ocorreram em ambiente padronizado, antes das refeições e do início da sessão, no caso do momento pré-treino.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2.4. Análise dos Dados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Empregaram-se estatística descritiva das seis dimensões e da PTH e avaliação da consistência interna por alfa de Cronbach. Como o teste de Shapiro-Wilk apontou desvios da normalidade em parte das dimensões, adotaram-se testes não paramétricos: o teste de Wilcoxon para a comparação entre pré e pós-treino, o teste de Friedman com o W de Kendall para a comparação entre os sete dias e a correlação de Spearman para as relações entre as dimensões, sempre com o cálculo do tamanho do efeito, classificado por magnitude. A confirmação multivariada da diferença entre o primeiro e o último dia recorreu à MANOVA em escores T. Cada observação foi classificada em um dos seis perfis de humor a partir dos escores padronizados, e a distribuição dos perfis foi avaliada pelo teste do qui-quadrado, com a tendência de migração resumida por uma regressão logística. A consistência das medidas repetidas foi estimada pelo coeficiente de correlação intraclasse (ICC), do qual se derivaram os limiares de mudança. Adotou-se nível de significância de 5%.</w:t>
      </w:r>
    </w:p>
    <w:p>
      <w:pPr>
        <w:spacing w:before="160" w:after="60" w:line="276" w:lineRule="auto"/>
      </w:pPr>
      <w:r>
        <w:rPr>
          <w:rFonts w:ascii="Palatino Linotype" w:hAnsi="Palatino Linotype"/>
          <w:b/>
          <w:sz w:val="20"/>
        </w:rPr>
        <w:t>3. Resultados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3.1. Descrição e Consistência das Dimensões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Tabela 1 resume as seis dimensões do BRUMS e a PTH no conjunto das observações. O vigor apresentou a maior média entre as dimensões, ao passo que as dimensões negativas concentraram-se em valores baixos, com médias próximas do limite inferior da escala.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1. </w:t>
      </w:r>
      <w:r>
        <w:rPr>
          <w:rFonts w:ascii="Palatino Linotype" w:hAnsi="Palatino Linotype"/>
          <w:sz w:val="18"/>
        </w:rPr>
        <w:t>Estatística descritiva das dimensões do BRUMS e da perturbação total do humor (286 observações).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3146"/>
        <w:gridCol w:w="3146"/>
        <w:gridCol w:w="1587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Dimensão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Média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DP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Mín.–Máx.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Tensão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1,4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1,8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0–8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Depressão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1,0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2,4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0–16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Raiva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1,6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2,8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0–14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Vigor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5,7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3,3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0–15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Fadiga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5,5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4,1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0–16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Confusão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0,5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1,3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0–8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PTH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4,4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10,1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-12–52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DP: desvio-padrão. PTH: perturbação total do humor. Escores das dimensões variam de 0 a 16.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Figura 1 apresenta os diagramas de caixa das seis dimensões, em painéis separados; como as dimensões diferem muito em amplitude, cada painel usa a escala da própria variável. O vigor e a fadiga percorrem a maior parte da escala e apresentam média e mediana próximas, ao passo que as dimensões negativas concentram a caixa junto ao zero e exibem a média acima da mediana, o que revela assimetria positiva e efeito de piso.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2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hum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1. </w:t>
      </w:r>
      <w:r>
        <w:rPr>
          <w:rFonts w:ascii="Palatino Linotype" w:hAnsi="Palatino Linotype"/>
          <w:sz w:val="18"/>
        </w:rPr>
        <w:t>Diagramas de caixa das seis dimensões do BRUMS, em painéis separados; cada painel usa a escala da própria variável, com a mediana (linha sólida) e a média (linha tracejada e losango).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consistência interna foi adequada nas duas dimensões do eixo energia–fadiga (alfa de 0,68 para o vigor e 0,80 para a fadiga). A PTH associou-se de forma forte ao vigor e à fadiga (correlações de 0,67 e 0,77), e essas duas dimensões explicaram 70% da sua variância, o que confirma o eixo energia–fadiga como o núcleo do sinal.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2. </w:t>
      </w:r>
      <w:r>
        <w:rPr>
          <w:rFonts w:ascii="Palatino Linotype" w:hAnsi="Palatino Linotype"/>
          <w:sz w:val="18"/>
        </w:rPr>
        <w:t>Consistência das medidas repetidas ao longo da semana (coeficiente de correlação intraclasse, ICC).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3146"/>
        <w:gridCol w:w="3146"/>
        <w:gridCol w:w="1587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Dimensão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ICC(2,1)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ICC(2,k)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Consistência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Vigor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0,53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0,89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moderada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Fadiga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0,61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0,92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moderada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Tensão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0,64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0,93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moderada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Depressão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0,68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0,94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moderada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Raiva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0,39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0,82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pobre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Confusão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0,36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0,80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pobre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ICC(2,1) = medida isolada; ICC(2,k) = média das medidas. Consistência: &lt; 0,50 pobre; 0,50–0,75 moderada; &gt; 0,75 boa.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partir do ICC derivaram-se os limiares de mudança do eixo energia–fadiga (Tabela 3). No vigor, o erro-padrão de medida foi de 2,3 ponto e a mudança mínima detectável, de 5,3 a 6,3 pontos; na fadiga, de 2,5 e de 5,9 a 7,0 pontos. Esses valores superam a menor mudança relevante (SWC), o que indica que, no plano individual, apenas oscilações de cerca de 5,3 a 5,9 pontos podem ser lidas como mudança real; por isso a inferência se apoia nas tendências de grupo.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3. </w:t>
      </w:r>
      <w:r>
        <w:rPr>
          <w:rFonts w:ascii="Palatino Linotype" w:hAnsi="Palatino Linotype"/>
          <w:sz w:val="18"/>
        </w:rPr>
        <w:t>Erro de medida e limiares de mudança do vigor e da fadiga (escala 0–16): erro-padrão de medida (SEM), mudança mínima detectável (MDC) e menor mudança relevante (SWC).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1970"/>
        <w:gridCol w:w="1970"/>
        <w:gridCol w:w="1970"/>
        <w:gridCol w:w="1970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Dimensão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SEM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MDC90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MDC95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SWC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Vigor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2,3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5,3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6,3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0,5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Fadiga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2,5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5,9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7,0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0,6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SEM = DP × √(1 - ICC); MDC = 1,65 (90%) ou 1,96 (95%) × √2 × SEM; SWC = 0,2 × DP entre atletas.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3.2. Perfis de Humor e sua Migração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Os seis perfis de humor estiveram representados na amostra. A Figura 2 apresenta cada perfil identificado no estudo em escores T, com a respectiva prevalência. O perfil iceberg exprime prontidão, com o vigor acima da média e as dimensões negativas abaixo, ao passo que a barbatana de tubarão sinaliza pico isolado de fadiga [7].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5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6_clus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2. </w:t>
      </w:r>
      <w:r>
        <w:rPr>
          <w:rFonts w:ascii="Palatino Linotype" w:hAnsi="Palatino Linotype"/>
          <w:sz w:val="18"/>
        </w:rPr>
        <w:t>Perfis de humor identificados na amostra, em escores T (M = 50; DP = 10); prevalência de cada perfil entre parênteses.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comparação entre o primeiro e o último dia revelou a reconfiguração do perfil médio do grupo (Figura 3). No primeiro dia, o perfil assumiu o formato iceberg; no último, inverteu-se para a barbatana de tubarão, com a fadiga no topo e o vigor rebaixado.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ofile_d1d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3. </w:t>
      </w:r>
      <w:r>
        <w:rPr>
          <w:rFonts w:ascii="Palatino Linotype" w:hAnsi="Palatino Linotype"/>
          <w:sz w:val="18"/>
        </w:rPr>
        <w:t>Perfil de humor em escores T no primeiro e no último dia do microciclo.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Essa mudança correspondeu a um deslocamento da prevalência dos perfis (Tabela 4). O perfil iceberg caiu de 48% para 22%, a barbatana de tubarão subiu de 4% para 22% e o submerso passou de 4% para 14%. A reorganização categórica não alcançou significância no qui-quadrado (χ² = 8,96; p = 0,111), resultado esperado pela baixa contagem por célula, mas a regressão logística confirmou o aumento da chance da barbatana de tubarão a cada dia (OR = 1,37).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4. </w:t>
      </w:r>
      <w:r>
        <w:rPr>
          <w:rFonts w:ascii="Palatino Linotype" w:hAnsi="Palatino Linotype"/>
          <w:sz w:val="18"/>
        </w:rPr>
        <w:t>Distribuição dos seis perfis de humor no primeiro e no último dia do microciclo: n (%).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6293"/>
        <w:gridCol w:w="1587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Perfil</w:t>
            </w:r>
          </w:p>
        </w:tc>
        <w:tc>
          <w:tcPr>
            <w:tcW w:type="dxa" w:w="6293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Dia 1, n (%)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Dia 7, n (%)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Iceberg</w:t>
            </w:r>
          </w:p>
        </w:tc>
        <w:tc>
          <w:tcPr>
            <w:tcW w:type="dxa" w:w="6293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13 (48,1%)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8 (21,6%)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Everest invertido</w:t>
            </w:r>
          </w:p>
        </w:tc>
        <w:tc>
          <w:tcPr>
            <w:tcW w:type="dxa" w:w="6293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 (14,8%)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 (10,8%)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Iceberg invertido</w:t>
            </w:r>
          </w:p>
        </w:tc>
        <w:tc>
          <w:tcPr>
            <w:tcW w:type="dxa" w:w="6293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 (7,4%)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 (5,4%)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Submerso</w:t>
            </w:r>
          </w:p>
        </w:tc>
        <w:tc>
          <w:tcPr>
            <w:tcW w:type="dxa" w:w="6293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 (3,7%)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 (13,5%)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Barbatana de tubarão</w:t>
            </w:r>
          </w:p>
        </w:tc>
        <w:tc>
          <w:tcPr>
            <w:tcW w:type="dxa" w:w="6293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 (3,7%)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8 (21,6%)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Superfície</w:t>
            </w:r>
          </w:p>
        </w:tc>
        <w:tc>
          <w:tcPr>
            <w:tcW w:type="dxa" w:w="6293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6 (22,2%)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10 (27,0%)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χ² = 8,96; p = 0,111. A migração é descritiva e converge com a queda do vigor e a elevação da fadiga.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3.3. Diferença entre o Primeiro e o Último Dia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comparação entre o primeiro e o último dia quantificou a magnitude da mudança em cada dimensão (Tabela 5). O efeito foi grande no vigor, que caiu 49% (dz = -1,33), e na fadiga, que subiu 115% (dz = 0,78). A análise multivariada confirmou a diferença global (Wilks λ = 0,181; p &lt; 0,001), e, sob a correção de Bonferroni, apenas o vigor e a fadiga permaneceram significativos.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5. </w:t>
      </w:r>
      <w:r>
        <w:rPr>
          <w:rFonts w:ascii="Palatino Linotype" w:hAnsi="Palatino Linotype"/>
          <w:sz w:val="18"/>
        </w:rPr>
        <w:t>Diferença das dimensões do BRUMS e da PTH entre o primeiro e o último dia (com tamanho e magnitude do efeito).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1258"/>
        <w:gridCol w:w="1258"/>
        <w:gridCol w:w="1258"/>
        <w:gridCol w:w="1258"/>
        <w:gridCol w:w="1258"/>
        <w:gridCol w:w="1587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Dimensão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Dia 1 (M)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Dia 7 (M)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Variação (%)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p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dz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Magnitude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Vigor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8,43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4,29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-49%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&lt; 0,001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-1,33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grande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Fadiga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3,43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7,36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+115%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0,003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+0,78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médio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Tensão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2,19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0,93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-58%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0,011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-0,60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médio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Depressão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0,52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1,29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+145%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0,504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+0,22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pequeno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Raiva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2,19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2,64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+21%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0,875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+0,09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trivial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Confusão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1,19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0,52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-56%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0,020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-0,57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médio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PTH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1,10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8,45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+672%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0,018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+0,55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médio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dz = tamanho de efeito intraindividual; magnitude: trivial (&lt; 0,2); pequeno (0,2–0,5); médio (0,5–0,8); grande (&gt; 0,8).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3.4. Comparação das Dimensões entre os Dias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 teste de Friedman (Tabela 6) apontou variação significativa no vigor (p &lt; 0,001; W = 0,21) e na fadiga (p = 0,007; W = 0,16), com magnitude pequena a moderada, além de diferenças na tensão e na confusão.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6. </w:t>
      </w:r>
      <w:r>
        <w:rPr>
          <w:rFonts w:ascii="Palatino Linotype" w:hAnsi="Palatino Linotype"/>
          <w:sz w:val="18"/>
        </w:rPr>
        <w:t>Médias diárias das dimensões do BRUMS e teste de Friedman com W de Kendall e magnitude do efeito.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20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1587"/>
      </w:tblGrid>
      <w:tr>
        <w:tc>
          <w:tcPr>
            <w:tcW w:type="dxa" w:w="120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Dimensão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D1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D2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D3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D4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D5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D6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D7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χ²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p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W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6"/>
              </w:rPr>
              <w:t>Magnitude</w:t>
            </w:r>
          </w:p>
        </w:tc>
      </w:tr>
      <w:tr>
        <w:tc>
          <w:tcPr>
            <w:tcW w:type="dxa" w:w="120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6"/>
              </w:rPr>
              <w:t>Tensão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2,1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1,8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1,1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1,4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1,2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1,5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1,1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14,5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0,025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0,13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pequeno</w:t>
            </w:r>
          </w:p>
        </w:tc>
      </w:tr>
      <w:tr>
        <w:tc>
          <w:tcPr>
            <w:tcW w:type="dxa" w:w="120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6"/>
              </w:rPr>
              <w:t>Depressão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0,6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1,3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0,7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1,2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0,7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1,2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1,4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3,5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0,751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0,03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trivial</w:t>
            </w:r>
          </w:p>
        </w:tc>
      </w:tr>
      <w:tr>
        <w:tc>
          <w:tcPr>
            <w:tcW w:type="dxa" w:w="120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6"/>
              </w:rPr>
              <w:t>Raiva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1,7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1,7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1,6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1,6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0,6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1,8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2,5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7,9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0,247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0,07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trivial</w:t>
            </w:r>
          </w:p>
        </w:tc>
      </w:tr>
      <w:tr>
        <w:tc>
          <w:tcPr>
            <w:tcW w:type="dxa" w:w="120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6"/>
              </w:rPr>
              <w:t>Vigor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8,3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5,4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5,5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5,4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5,9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5,7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4,4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23,6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&lt; 0,001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0,21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pequeno</w:t>
            </w:r>
          </w:p>
        </w:tc>
      </w:tr>
      <w:tr>
        <w:tc>
          <w:tcPr>
            <w:tcW w:type="dxa" w:w="120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6"/>
              </w:rPr>
              <w:t>Fadiga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3,4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5,2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5,1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5,8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5,1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6,0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7,2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17,9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0,007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0,16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pequeno</w:t>
            </w:r>
          </w:p>
        </w:tc>
      </w:tr>
      <w:tr>
        <w:tc>
          <w:tcPr>
            <w:tcW w:type="dxa" w:w="120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6"/>
              </w:rPr>
              <w:t>Confusão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1,0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0,6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0,3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0,4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0,2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0,7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0,6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22,9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&lt; 0,001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0,20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pequeno</w:t>
            </w:r>
          </w:p>
        </w:tc>
      </w:tr>
      <w:tr>
        <w:tc>
          <w:tcPr>
            <w:tcW w:type="dxa" w:w="120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6"/>
              </w:rPr>
              <w:t>PTH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0,6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5,3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3,3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5,0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1,9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5,5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8,3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13,8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0,032</w:t>
            </w:r>
          </w:p>
        </w:tc>
        <w:tc>
          <w:tcPr>
            <w:tcW w:type="dxa" w:w="68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0,12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6"/>
              </w:rPr>
              <w:t>pequeno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W de Kendall: trivial (&lt; 0,1); pequeno (0,1–0,3); moderado (0,3–0,5); grande (&gt; 0,5). PTH: perturbação total do humor.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Figura 4 ilustra a trajetória do vigor, da fadiga e da PTH, com a queda progressiva do vigor e a elevação da fadiga em direção ao fim do microciclo, e a Figura S1 detalha, por dia, a distribuição de cada dimensão.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84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1_trajeto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4. </w:t>
      </w:r>
      <w:r>
        <w:rPr>
          <w:rFonts w:ascii="Palatino Linotype" w:hAnsi="Palatino Linotype"/>
          <w:sz w:val="18"/>
        </w:rPr>
        <w:t>Trajetória de vigor, fadiga e perturbação total do humor ao longo dos sete dias (curvas suavizadas; ponto de inflexão e extremos sinalizados).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comparação direta da PTH entre três momentos do microciclo (Figura S2) ilustra a mesma tendência: a perturbação total do humor aumentou do primeiro para o último dia, e a diferença foi significativa entre o Dia 1 e o Dia 7 (p = 0,008), embora as comparações entre dias adjacentes não tenham alcançado significância.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distribuição completa da PTH em cada dia (Figura S3) e a sua distribuição acumulada (Figura S4) confirmam o deslocamento ao longo da semana. Os diagramas de violino mostram a densidade da PTH a subir do Dia 1 ao Dia 7, e as curvas de distribuição acumulada revelam um deslocamento sistemático para a direita, com o Dia 7 situado acima do Dia 1 em praticamente toda a faixa de escores.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3.5. Suavização, Derivadas e Cruzamento das Trajetórias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Para separar o sinal do ruído, as trajetórias do vigor, da fadiga e da PTH foram suavizadas sobre os doze pontos pré e pós-treino por meio de uma spline, e a segunda derivada de cada curva localizou o seu ponto de inflexão, ou seja, o momento em que a concavidade muda e a taxa de variação atinge o seu limite (Figura 5; Tabela 7). Depois de removido o ruído, cada dimensão exibiu um único ponto de inflexão, situado na metade da semana (em torno do Dia 3,8), o que marca a transição entre a fase inicial de prontidão e a fase de acúmulo de carga. A curva suavizada do vigor subiu até um máximo em torno do Dia 5,0 e caiu para o seu mínimo ao fim da semana, enquanto a fadiga e a PTH percorreram o caminho inverso e atingiram os seus máximos no último dia.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780000" cy="24230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oth_deri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2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5. </w:t>
      </w:r>
      <w:r>
        <w:rPr>
          <w:rFonts w:ascii="Palatino Linotype" w:hAnsi="Palatino Linotype"/>
          <w:sz w:val="18"/>
        </w:rPr>
        <w:t>Trajetórias suavizadas do vigor, da fadiga e da PTH sobre os doze pontos pré e pós-treino. Marcadores translúcidos: sinal bruto; linha grossa: sinal suavizado; linha pontilhada: ponto de inflexão (segunda derivada nula); triângulos: máximo e mínimo. Áreas sombreadas: início e acúmulo da semana.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7. </w:t>
      </w:r>
      <w:r>
        <w:rPr>
          <w:rFonts w:ascii="Palatino Linotype" w:hAnsi="Palatino Linotype"/>
          <w:sz w:val="18"/>
        </w:rPr>
        <w:t>Ponto de inflexão (segunda derivada nula) e extremos das trajetórias suavizadas do eixo energia–fadiga.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3146"/>
        <w:gridCol w:w="3146"/>
        <w:gridCol w:w="1587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Dimensão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Inflexão (dia)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Máximo: dia (escore)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Mínimo: dia (escore)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Vigor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3,8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5,0 (5,9)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7,2 (4,2)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Fadiga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3,8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7,2 (7,7)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1,8 (4,5)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PTH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3,5</w:t>
            </w:r>
          </w:p>
        </w:tc>
        <w:tc>
          <w:tcPr>
            <w:tcW w:type="dxa" w:w="314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7,2 (9,9)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4,7 (3,2)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Curvas suavizadas por spline sobre os 12 pontos pré/pós; inflexão = raiz da segunda derivada. PTH: perturbação total do humor.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mesma inflexão foi examinada por dois caminhos complementares, detalhados no material suplementar. O painel da segunda derivada localiza o cruzamento por zero de cada curva e realça os extremos com o respectivo valor (Figura S7). Em paralelo, um ajuste polinomial de grau três resume cada trajetória por uma equação e reproduz a inflexão de forma analítica, na raiz da segunda derivada (x = -b/3a), em duas resoluções (Figura S8). Sobre as sete médias diárias, o ajuste foi forte, com R² de 0,96 para o vigor, 0,95 para a fadiga e 0,80 para a PTH, e inflexões nos dias 4,2, 4,0 e 3,9. Sobre os quatorze pontos pré e pós-treino, incluída a linha de base do primeiro dia, o R² foi de 0,80, 0,75 e 0,60, com inflexões praticamente idênticas. As duas resoluções convergem para a transição na metade da semana e reforçam, por via paramétrica, o achado da spline.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Como o vigor e a fadiga compartilham a mesma escala, as suas trajetórias podem ser comparadas de forma direta e os seus cruzamentos exatos podem ser localizados (Figura 6). No primeiro dia, o vigor superou a fadiga por ampla margem (média de 8,4 contra 3,4 pontos). O vigor caiu e a fadiga subiu até que as duas curvas se igualaram pela primeira vez em torno do dia 2,5 (escore 5,3). A partir daí, o vigor e a fadiga percorreram uma faixa estreita e próxima e voltaram a cruzar-se nos dias 4,0 e 6,0, sinal de um equilíbrio instável entre energia e fadiga durante a maior parte da semana. Após o último cruzamento, no dia 6,0 (escore 5,8), a fadiga afastou-se de forma definitiva acima do vigor. No mesmo trecho final, a perturbação total do humor, que vinha abaixo das duas dimensões, subiu e ultrapassou primeiro o vigor (dia 6,4; escore 5,5) e depois a fadiga (dia 6,6; escore 6,6), o que marca a deterioração conjunta do estado de humor no fim do microciclo.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538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tra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6. </w:t>
      </w:r>
      <w:r>
        <w:rPr>
          <w:rFonts w:ascii="Palatino Linotype" w:hAnsi="Palatino Linotype"/>
          <w:sz w:val="18"/>
        </w:rPr>
        <w:t>Cruzamentos exatos das trajetórias de vigor, fadiga e PTH ao longo do microciclo (curvas do ajuste polinomial sobre as médias diárias; losangos: pontos de cruzamento, com o dia e o escore). Áreas sombreadas: início e acúmulo da semana.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3.6. Dias de Pico e Comparação de Cada Dia ao Primeiro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localização dos picos sintetiza a dinâmica semanal (Tabela 8): o vigor foi máximo no Dia 1 e mínimo no Dia 7, ao passo que a fadiga foi máxima no Dia 7. O início da semana reúne maior prontidão e o final concentra a fadiga e a raiva.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8. </w:t>
      </w:r>
      <w:r>
        <w:rPr>
          <w:rFonts w:ascii="Palatino Linotype" w:hAnsi="Palatino Linotype"/>
          <w:sz w:val="18"/>
        </w:rPr>
        <w:t>Dia de maior e de menor expressão de cada dimensão do humor (médias diárias).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1970"/>
        <w:gridCol w:w="1970"/>
        <w:gridCol w:w="1970"/>
        <w:gridCol w:w="1970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Dimensão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Dia de maior valor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Valor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Dia de menor valor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Valor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Tensão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1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2,15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7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1,05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Depressão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7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1,35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1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0,59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Raiva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7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2,54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5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0,57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Vigor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1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8,30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7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4,43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Fadiga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7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7,22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1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3,37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Confusão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1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1,04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Dia 5</w:t>
            </w:r>
          </w:p>
        </w:tc>
        <w:tc>
          <w:tcPr>
            <w:tcW w:type="dxa" w:w="197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0,21</w:t>
            </w:r>
          </w:p>
        </w:tc>
      </w:tr>
    </w:tbl>
    <w:p>
      <w:pPr>
        <w:spacing w:after="40"/>
      </w:pP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No pós-teste que compara todos os dias entre si (Tabela 9; Figura S5), o vigor diferiu de forma significativa em 9 dos 21 pares de dias e a fadiga em 6, sempre no sentido de piora em relação aos primeiros dias, o que confirma a deterioração progressiva do eixo energia–fadiga.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9. </w:t>
      </w:r>
      <w:r>
        <w:rPr>
          <w:rFonts w:ascii="Palatino Linotype" w:hAnsi="Palatino Linotype"/>
          <w:sz w:val="18"/>
        </w:rPr>
        <w:t>Médias marginais estimadas por dia do vigor e da fadiga, com comparação de cada dia ao Dia 1 (pós-teste de Tukey).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3940"/>
        <w:gridCol w:w="3940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Dia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Vigor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Fadiga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Dia 1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8,30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3,37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Dia 2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5,45*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5,18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Dia 3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5,65*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4,84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Dia 4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5,31*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5,70*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Dia 5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5,80*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5,01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Dia 6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5,63*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5,72*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Dia 7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4,10*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6,93*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* diferença significativa em relação ao Dia 1 (Tukey, p &lt; 0,05).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3.7. Variação entre Pré e Pós-Treino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 teste de Wilcoxon (Tabela 10) evidenciou uma resposta aguda coerente com o esforço: o vigor caiu (d = -0,47) e a fadiga e a PTH subiram do momento pré para o pós, com efeito de magnitude pequena a moderada. A Figura S6 apresenta esses escores por dia e mostra que a diferença entre pré e pós-treino se mantém ao longo da semana.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10. </w:t>
      </w:r>
      <w:r>
        <w:rPr>
          <w:rFonts w:ascii="Palatino Linotype" w:hAnsi="Palatino Linotype"/>
          <w:sz w:val="18"/>
        </w:rPr>
        <w:t>Comparação entre pré e pós-treino das dimensões do BRUMS e da PTH (teste de Wilcoxon e d de Cohen).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1258"/>
        <w:gridCol w:w="1258"/>
        <w:gridCol w:w="1258"/>
        <w:gridCol w:w="1258"/>
        <w:gridCol w:w="1258"/>
        <w:gridCol w:w="1587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Dimensão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Pré (M)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Pós (M)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Variação (%)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p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d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Magnitude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Tensão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1,30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1,60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+23%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0,057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+0,43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pequeno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Depressão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1,03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1,21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+17%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0,687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+0,24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pequeno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Raiva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1,31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1,51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+15%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0,745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+0,13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trivial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Vigor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5,76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4,94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-14%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0,025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-0,47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pequeno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Fadiga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4,61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6,28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+36%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0,005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+0,57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médio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Confusão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0,41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0,41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-1%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0,706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-0,01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trivial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PTH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2,91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6,06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+108%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0,009</w:t>
            </w:r>
          </w:p>
        </w:tc>
        <w:tc>
          <w:tcPr>
            <w:tcW w:type="dxa" w:w="1259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+0,58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médio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p do teste de Wilcoxon; d = tamanho de efeito de Cohen. PTH: perturbação total do humor.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3.8. Relações entre as Dimensões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As correlações de Spearman (Tabela 11) mostraram que as dimensões negativas se associam entre si, com destaque para os pares depressão–raiva e tensão–confusão, e que a fadiga se relaciona com a depressão e a raiva. O vigor manteve-se relativamente independente, o que reforça a sua leitura como um polo próprio do eixo energia–fadiga.</w:t>
      </w:r>
    </w:p>
    <w:p>
      <w:pPr>
        <w:spacing w:before="120" w:after="40"/>
        <w:jc w:val="both"/>
      </w:pPr>
      <w:r>
        <w:rPr>
          <w:rFonts w:ascii="Palatino Linotype" w:hAnsi="Palatino Linotype"/>
          <w:b/>
          <w:sz w:val="18"/>
        </w:rPr>
        <w:t xml:space="preserve">Tabela 11. </w:t>
      </w:r>
      <w:r>
        <w:rPr>
          <w:rFonts w:ascii="Palatino Linotype" w:hAnsi="Palatino Linotype"/>
          <w:sz w:val="18"/>
        </w:rPr>
        <w:t>Correlações de Spearman significativas entre as dimensões do BRUMS (n = 27 atletas).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</w:tblCellMar>
      </w:tblPr>
      <w:tblGrid>
        <w:gridCol w:w="1757"/>
        <w:gridCol w:w="3940"/>
        <w:gridCol w:w="3940"/>
      </w:tblGrid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Par de dimensões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ρ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b/>
                <w:sz w:val="17"/>
              </w:rPr>
              <w:t>p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Vigor × Fadiga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-0,40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0,037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Fadiga × Depressão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+0,42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0,028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Fadiga × Raiva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+0,49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0,010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Tensão × Confusão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+0,45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0,017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Depressão × Raiva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+0,53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0,005</w:t>
            </w:r>
          </w:p>
        </w:tc>
      </w:tr>
      <w:tr>
        <w:tc>
          <w:tcPr>
            <w:tcW w:type="dxa" w:w="175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Palatino Linotype" w:hAnsi="Palatino Linotype"/>
                <w:sz w:val="17"/>
              </w:rPr>
              <w:t>Depressão × Confusão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+0,43</w:t>
            </w:r>
          </w:p>
        </w:tc>
        <w:tc>
          <w:tcPr>
            <w:tcW w:type="dxa" w:w="3940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Palatino Linotype" w:hAnsi="Palatino Linotype"/>
                <w:sz w:val="17"/>
              </w:rPr>
              <w:t>0,027</w:t>
            </w:r>
          </w:p>
        </w:tc>
      </w:tr>
    </w:tbl>
    <w:p>
      <w:pPr>
        <w:spacing w:after="80"/>
      </w:pPr>
      <w:r>
        <w:rPr>
          <w:rFonts w:ascii="Palatino Linotype" w:hAnsi="Palatino Linotype"/>
          <w:i/>
          <w:sz w:val="16"/>
        </w:rPr>
        <w:t>ρ = coeficiente de correlação de Spearman. Apresentam-se apenas os pares com p &lt; 0,05.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relação entre o vigor e a fadiga, além de negativa, tornou-se mais estreita à medida que a carga se acumulou (Figura 7): a regressão por fase do microciclo mostrou um acoplamento fraco na fase inicial (r = -0,35) e mais forte na fase de acúmulo (r = -0,51), o que sugere que os dois polos do eixo energia–fadiga passam a variar de forma mais solidária sob fadiga acumulada.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769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_reg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7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7. </w:t>
      </w:r>
      <w:r>
        <w:rPr>
          <w:rFonts w:ascii="Palatino Linotype" w:hAnsi="Palatino Linotype"/>
          <w:sz w:val="18"/>
        </w:rPr>
        <w:t>Relação entre vigor e fadiga por fase do microciclo, com a reta de regressão de cada grupo (início: dias 1 a 4; acúmulo: dias 5 a 7).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3.9. Estrutura Dimensional (Análise de Componentes Principais)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Uma análise exploratória de componentes principais resumiu a estrutura das seis dimensões. Os dois primeiros componentes explicaram 64% da variância (41% no primeiro e 23% no segundo). O círculo de correlação (Figura 8) mostra que as dimensões negativas (depressão, raiva, confusão e fadiga) se projetam juntas no lado positivo do primeiro componente, que funciona como um eixo geral de perturbação, ao passo que o vigor aponta em sentido oposto. Essa oposição entre o vigor e as dimensões de perturbação reforça, por via independente, a centralidade do eixo energia–fadiga.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94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circu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9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8. </w:t>
      </w:r>
      <w:r>
        <w:rPr>
          <w:rFonts w:ascii="Palatino Linotype" w:hAnsi="Palatino Linotype"/>
          <w:sz w:val="18"/>
        </w:rPr>
        <w:t>Círculo de correlação da análise de componentes principais das seis dimensões do BRUMS. A espessura de cada seta é proporcional à contribuição da variável ao plano dos dois primeiros componentes.</w:t>
      </w:r>
    </w:p>
    <w:p>
      <w:pPr>
        <w:spacing w:before="160" w:after="60" w:line="276" w:lineRule="auto"/>
      </w:pPr>
      <w:r>
        <w:rPr>
          <w:rFonts w:ascii="Palatino Linotype" w:hAnsi="Palatino Linotype"/>
          <w:b/>
          <w:sz w:val="20"/>
        </w:rPr>
        <w:t>4. Discussão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Os resultados descrevem, em um microciclo pré-competitivo de handebol de elite, a migração do humor da prontidão para a fadiga funcional. A queda do vigor e a elevação da fadiga entre o primeiro e o último dia alcançaram efeito grande e foram confirmadas pela análise multivariada, o que situa o eixo energia–fadiga como o principal responsável pela mudança do estado do atleta. Esse padrão reproduz, num microciclo de handebol, o comportamento já documentado em outras modalidades sob acúmulo de carga [12,15,16].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 leitura por perfis acrescentou clareza a essa descrição. O deslocamento do perfil iceberg para a barbatana de tubarão traduz a acumulação da carga sem os sinais de comprometimento da saúde mental, uma vez que os perfis de maior risco não se instalaram. Quando comparados à distribuição de referência de uma grande amostra brasileira, os nossos dados partem de um predomínio semelhante de iceberg e elevam a barbatana de tubarão apenas ao fim da semana [7,14]. Assim, os perfis funcionam como uma linguagem direta de comunicação com a comissão técnica [9].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Os tamanhos de efeito reforçam essa interpretação e delimitam o que é relevante no monitoramento. A magnitude foi grande na comparação entre o primeiro e o último dia do vigor e da fadiga, e permaneceu de pequena a moderada nas comparações entre todos os dias e entre pré e pós-treino, sempre concentrada no eixo energia–fadiga. A consistência interna adequada dessas duas dimensões, a sua correlação intraclasse de moderada a boa e a forte associação com a perturbação total do humor convergem para a mesma conclusão. As dimensões negativas, concentradas em valores baixos, contribuíram pouco para a variação, o que recomenda centrar o monitoramento rotineiro no par vigor–fadiga [8,17].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As características do handebol ajudam a explicar esse comportamento. A modalidade impõe esforço intermitente de alta intensidade, com sprints curtos, mudanças de direção, saltos e contato, o que gera elevada demanda neuromuscular e psicofisiológica ao longo da semana e sustenta tanto a tendência de acúmulo quanto a resposta aguda observada entre o pré e o pós-treino [10,11]. Estudos recentes na modalidade associam a carga a marcadores endócrinos e ao estado de humor e de estresse, o que reforça o valor do acompanhamento subjetivo como um marcador sensível e de baixo custo, complementar ao monitoramento fisiológico e de bem-estar praticado em esportes coletivos [18–20].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4.1. Limitações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O estudo tem limitações, entre as quais a amostra de um único clube, o recorte de um microciclo e a ausência de medidas objetivas de carga neste recorte, o que restringe a generalização e impede inferências de causa. O pequeno número de observações distribuído por seis perfis reduz a potência do teste categórico, e o erro de medida de uma leitura isolada recomenda cautela na interpretação individual, de modo que a inferência se apoia nas tendências de grupo.</w:t>
      </w:r>
    </w:p>
    <w:p>
      <w:pPr>
        <w:spacing w:before="160" w:after="40" w:line="276" w:lineRule="auto"/>
      </w:pPr>
      <w:r>
        <w:rPr>
          <w:rFonts w:ascii="Palatino Linotype" w:hAnsi="Palatino Linotype"/>
          <w:b/>
          <w:sz w:val="20"/>
        </w:rPr>
        <w:t>4.2. Conclusões</w:t>
      </w:r>
    </w:p>
    <w:p>
      <w:pPr>
        <w:spacing w:line="276" w:lineRule="auto" w:after="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Em um microciclo pré-competitivo de handebol de elite, o humor migrou da prontidão para a fadiga funcional, com o eixo energia–fadiga a concentrar os maiores efeitos e a sustentar a reconfiguração dos perfis do iceberg para a barbatana de tubarão. O padrão é compatível com sobre-esforço funcional e não indicou instalação dos perfis de maior risco. Do ponto de vista prático, recomenda-se centrar o monitoramento rotineiro no par vigor–fadiga ao longo da semana, integrado a um acompanhamento multidomínio do estado do atleta [3,21].</w:t>
      </w:r>
    </w:p>
    <w:p>
      <w:pPr>
        <w:spacing w:after="80"/>
      </w:pPr>
    </w:p>
    <w:p>
      <w:pPr>
        <w:spacing w:before="80" w:after="0"/>
        <w:jc w:val="both"/>
      </w:pPr>
      <w:r>
        <w:rPr>
          <w:rFonts w:ascii="Palatino Linotype" w:hAnsi="Palatino Linotype"/>
          <w:b/>
          <w:i/>
          <w:sz w:val="18"/>
        </w:rPr>
        <w:t xml:space="preserve">Materiais Suplementares: </w:t>
      </w:r>
      <w:r>
        <w:rPr>
          <w:rFonts w:ascii="Palatino Linotype" w:hAnsi="Palatino Linotype"/>
          <w:sz w:val="18"/>
        </w:rPr>
        <w:t>As figuras suplementares (Figuras S1 a S8) estão disponíveis ao fim deste documento e detalham a distribuição diária das dimensões, as comparações par a par da PTH, os diagramas de violino e a distribuição acumulada, as médias marginais diárias, a resposta pré e pós-treino, a análise por derivadas e o ajuste polinomial das trajetórias.</w:t>
      </w:r>
    </w:p>
    <w:p>
      <w:pPr>
        <w:spacing w:before="80" w:after="0"/>
        <w:jc w:val="both"/>
      </w:pPr>
      <w:r>
        <w:rPr>
          <w:rFonts w:ascii="Palatino Linotype" w:hAnsi="Palatino Linotype"/>
          <w:b/>
          <w:i/>
          <w:sz w:val="18"/>
        </w:rPr>
        <w:t xml:space="preserve">Contribuições dos Autores: </w:t>
      </w:r>
      <w:r>
        <w:rPr>
          <w:rFonts w:ascii="Palatino Linotype" w:hAnsi="Palatino Linotype"/>
          <w:sz w:val="18"/>
        </w:rPr>
        <w:t>[conceituação; metodologia; análise formal; investigação; redação do rascunho original; redação, revisão e edição]. Todos os autores leram e concordaram com a versão publicada do manuscrito.</w:t>
      </w:r>
    </w:p>
    <w:p>
      <w:pPr>
        <w:spacing w:before="80" w:after="0"/>
        <w:jc w:val="both"/>
      </w:pPr>
      <w:r>
        <w:rPr>
          <w:rFonts w:ascii="Palatino Linotype" w:hAnsi="Palatino Linotype"/>
          <w:b/>
          <w:i/>
          <w:sz w:val="18"/>
        </w:rPr>
        <w:t xml:space="preserve">Financiamento: </w:t>
      </w:r>
      <w:r>
        <w:rPr>
          <w:rFonts w:ascii="Palatino Linotype" w:hAnsi="Palatino Linotype"/>
          <w:sz w:val="18"/>
        </w:rPr>
        <w:t>[Esta pesquisa não recebeu financiamento externo / nome da agência e número do processo].</w:t>
      </w:r>
    </w:p>
    <w:p>
      <w:pPr>
        <w:spacing w:before="80" w:after="0"/>
        <w:jc w:val="both"/>
      </w:pPr>
      <w:r>
        <w:rPr>
          <w:rFonts w:ascii="Palatino Linotype" w:hAnsi="Palatino Linotype"/>
          <w:b/>
          <w:i/>
          <w:sz w:val="18"/>
        </w:rPr>
        <w:t xml:space="preserve">Declaração do Comitê de Ética: </w:t>
      </w:r>
      <w:r>
        <w:rPr>
          <w:rFonts w:ascii="Palatino Linotype" w:hAnsi="Palatino Linotype"/>
          <w:sz w:val="18"/>
        </w:rPr>
        <w:t>O estudo foi conduzido de acordo com a Declaração de Helsinque e aprovado pelo Comitê de Ética em Pesquisa de [Instituição] (CAAE [número]; parecer [número], [data]).</w:t>
      </w:r>
    </w:p>
    <w:p>
      <w:pPr>
        <w:spacing w:before="80" w:after="0"/>
        <w:jc w:val="both"/>
      </w:pPr>
      <w:r>
        <w:rPr>
          <w:rFonts w:ascii="Palatino Linotype" w:hAnsi="Palatino Linotype"/>
          <w:b/>
          <w:i/>
          <w:sz w:val="18"/>
        </w:rPr>
        <w:t xml:space="preserve">Declaração de Consentimento Informado: </w:t>
      </w:r>
      <w:r>
        <w:rPr>
          <w:rFonts w:ascii="Palatino Linotype" w:hAnsi="Palatino Linotype"/>
          <w:sz w:val="18"/>
        </w:rPr>
        <w:t>O termo de consentimento livre e esclarecido foi obtido de todos os participantes envolvidos no estudo.</w:t>
      </w:r>
    </w:p>
    <w:p>
      <w:pPr>
        <w:spacing w:before="80" w:after="0"/>
        <w:jc w:val="both"/>
      </w:pPr>
      <w:r>
        <w:rPr>
          <w:rFonts w:ascii="Palatino Linotype" w:hAnsi="Palatino Linotype"/>
          <w:b/>
          <w:i/>
          <w:sz w:val="18"/>
        </w:rPr>
        <w:t xml:space="preserve">Declaração de Disponibilidade dos Dados: </w:t>
      </w:r>
      <w:r>
        <w:rPr>
          <w:rFonts w:ascii="Palatino Linotype" w:hAnsi="Palatino Linotype"/>
          <w:sz w:val="18"/>
        </w:rPr>
        <w:t>[Os dados que sustentam os achados deste estudo estão disponíveis com o autor correspondente mediante solicitação razoável / restrições aplicam-se conforme acordo com a instituição].</w:t>
      </w:r>
    </w:p>
    <w:p>
      <w:pPr>
        <w:spacing w:before="80" w:after="0"/>
        <w:jc w:val="both"/>
      </w:pPr>
      <w:r>
        <w:rPr>
          <w:rFonts w:ascii="Palatino Linotype" w:hAnsi="Palatino Linotype"/>
          <w:b/>
          <w:i/>
          <w:sz w:val="18"/>
        </w:rPr>
        <w:t xml:space="preserve">Agradecimentos: </w:t>
      </w:r>
      <w:r>
        <w:rPr>
          <w:rFonts w:ascii="Palatino Linotype" w:hAnsi="Palatino Linotype"/>
          <w:sz w:val="18"/>
        </w:rPr>
        <w:t>[Agradecimentos à comissão técnica e aos atletas participantes].</w:t>
      </w:r>
    </w:p>
    <w:p>
      <w:pPr>
        <w:spacing w:before="80" w:after="0"/>
        <w:jc w:val="both"/>
      </w:pPr>
      <w:r>
        <w:rPr>
          <w:rFonts w:ascii="Palatino Linotype" w:hAnsi="Palatino Linotype"/>
          <w:b/>
          <w:i/>
          <w:sz w:val="18"/>
        </w:rPr>
        <w:t xml:space="preserve">Conflitos de Interesse: </w:t>
      </w:r>
      <w:r>
        <w:rPr>
          <w:rFonts w:ascii="Palatino Linotype" w:hAnsi="Palatino Linotype"/>
          <w:sz w:val="18"/>
        </w:rPr>
        <w:t>Os autores declaram não haver conflito de interesse.</w:t>
      </w:r>
    </w:p>
    <w:p>
      <w:pPr>
        <w:spacing w:before="200" w:after="60" w:line="276" w:lineRule="auto"/>
      </w:pPr>
      <w:r>
        <w:rPr>
          <w:rFonts w:ascii="Palatino Linotype" w:hAnsi="Palatino Linotype"/>
          <w:b/>
          <w:sz w:val="20"/>
        </w:rPr>
        <w:t>Referências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1. </w:t>
      </w:r>
      <w:r>
        <w:rPr>
          <w:rFonts w:ascii="Palatino Linotype" w:hAnsi="Palatino Linotype"/>
          <w:sz w:val="17"/>
        </w:rPr>
        <w:t>Saw, A.E.; Main, L.C.; Gastin, P.B. Monitoring the athlete training response: Subjective self-reported measures trump commonly used objective measures: A systematic review. Br. J. Sports Med. 2016, 50, 281–291. https://doi.org/10.1136/bjsports-2015-094758.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2. </w:t>
      </w:r>
      <w:r>
        <w:rPr>
          <w:rFonts w:ascii="Palatino Linotype" w:hAnsi="Palatino Linotype"/>
          <w:sz w:val="17"/>
        </w:rPr>
        <w:t>Lochbaum, M.; et al. The Profile of Mood States and athletic performance: A meta-analysis of published studies. Eur. J. Investig. Health Psychol. Educ. 2021, 11, 50–70. https://doi.org/10.3390/ejihpe11010005.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3. </w:t>
      </w:r>
      <w:r>
        <w:rPr>
          <w:rFonts w:ascii="Palatino Linotype" w:hAnsi="Palatino Linotype"/>
          <w:sz w:val="17"/>
        </w:rPr>
        <w:t>Kellmann, M.; et al. Recovery and performance in sport: Consensus statement. Int. J. Sports Physiol. Perform. 2018, 13, 240–245. https://doi.org/10.1123/ijspp.2017-0759.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4. </w:t>
      </w:r>
      <w:r>
        <w:rPr>
          <w:rFonts w:ascii="Palatino Linotype" w:hAnsi="Palatino Linotype"/>
          <w:sz w:val="17"/>
        </w:rPr>
        <w:t>Terry, P.C.; Lane, A.M.; Fogarty, G.J. Construct validity of the Profile of Mood States, Adolescents for use with adults. Psychol. Sport Exerc. 2003, 4, 125–139. https://doi.org/10.1016/S1469-0292(02)00035-8.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5. </w:t>
      </w:r>
      <w:r>
        <w:rPr>
          <w:rFonts w:ascii="Palatino Linotype" w:hAnsi="Palatino Linotype"/>
          <w:sz w:val="17"/>
        </w:rPr>
        <w:t>Rohlfs, I.C.P.M.; et al. A Escala de Humor de Brunel (BRUMS): Instrumento para detecção precoce da síndrome do excesso de treinamento. Rev. Bras. Med. Esporte 2008, 14, 176–181.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6. </w:t>
      </w:r>
      <w:r>
        <w:rPr>
          <w:rFonts w:ascii="Palatino Linotype" w:hAnsi="Palatino Linotype"/>
          <w:sz w:val="17"/>
        </w:rPr>
        <w:t>Morgan, W.P. Selected psychological factors limiting performance: A mental health model. In Limits of Human Performance; Clarke, D.H., Eckert, H.M., Eds.; Human Kinetics: Champaign, IL, USA, 1985; pp. 70–80.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7. </w:t>
      </w:r>
      <w:r>
        <w:rPr>
          <w:rFonts w:ascii="Palatino Linotype" w:hAnsi="Palatino Linotype"/>
          <w:sz w:val="17"/>
        </w:rPr>
        <w:t>Parsons-Smith, R.L.; Terry, P.C.; Machin, M.A. Identification and description of novel mood profile clusters. Front. Psychol. 2017, 8, 1958. https://doi.org/10.3389/fpsyg.2017.01958.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8. </w:t>
      </w:r>
      <w:r>
        <w:rPr>
          <w:rFonts w:ascii="Palatino Linotype" w:hAnsi="Palatino Linotype"/>
          <w:sz w:val="17"/>
        </w:rPr>
        <w:t>Terry, P.C.; et al. Mood profiling for sustainable mental health among athletes. Sustainability 2021, 13, 6116. https://doi.org/10.3390/su13116116.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9. </w:t>
      </w:r>
      <w:r>
        <w:rPr>
          <w:rFonts w:ascii="Palatino Linotype" w:hAnsi="Palatino Linotype"/>
          <w:sz w:val="17"/>
        </w:rPr>
        <w:t>Han, C.; Parsons-Smith, R.L.; Terry, P.C. Mood profiling in Singapore: Cross-cultural validation and potential applications of mood profile clusters. Front. Psychol. 2020, 11, 665. https://doi.org/10.3389/fpsyg.2020.00665.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10. </w:t>
      </w:r>
      <w:r>
        <w:rPr>
          <w:rFonts w:ascii="Palatino Linotype" w:hAnsi="Palatino Linotype"/>
          <w:sz w:val="17"/>
        </w:rPr>
        <w:t>Karcher, C.; Buchheit, M. On-court demands of elite handball, with special reference to playing positions. Sports Med. 2014, 44, 797–814. https://doi.org/10.1007/s40279-014-0164-z.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11. </w:t>
      </w:r>
      <w:r>
        <w:rPr>
          <w:rFonts w:ascii="Palatino Linotype" w:hAnsi="Palatino Linotype"/>
          <w:sz w:val="17"/>
        </w:rPr>
        <w:t>García-Sánchez, C.; et al. Physical demands during official competitions in elite handball: A systematic review. Int. J. Environ. Res. Public Health 2023, 20, 3353. https://doi.org/10.3390/ijerph20043353.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12. </w:t>
      </w:r>
      <w:r>
        <w:rPr>
          <w:rFonts w:ascii="Palatino Linotype" w:hAnsi="Palatino Linotype"/>
          <w:sz w:val="17"/>
        </w:rPr>
        <w:t>Thorpe, R.T.; et al. Monitoring fatigue status in elite team-sport athletes: Implications for practice. Int. J. Sports Physiol. Perform. 2017, 12, S227–S234. https://doi.org/10.1123/ijspp.2016-0434.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13. </w:t>
      </w:r>
      <w:r>
        <w:rPr>
          <w:rFonts w:ascii="Palatino Linotype" w:hAnsi="Palatino Linotype"/>
          <w:sz w:val="17"/>
        </w:rPr>
        <w:t>Roete, A.J.; et al. A systematic review on markers of functional overreaching in endurance athletes. Int. J. Sports Physiol. Perform. 2021, 16, 1065–1073. https://doi.org/10.1123/ijspp.2021-0024.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14. </w:t>
      </w:r>
      <w:r>
        <w:rPr>
          <w:rFonts w:ascii="Palatino Linotype" w:hAnsi="Palatino Linotype"/>
          <w:sz w:val="17"/>
        </w:rPr>
        <w:t>de Miranda Rohlfs, I.C.P.; et al. Prevalence of specific mood profile clusters among elite and youth athletes at a Brazilian sports club. Sports 2024, 12, 195. https://doi.org/10.3390/sports12070195.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15. </w:t>
      </w:r>
      <w:r>
        <w:rPr>
          <w:rFonts w:ascii="Palatino Linotype" w:hAnsi="Palatino Linotype"/>
          <w:sz w:val="17"/>
        </w:rPr>
        <w:t>Pierce, E.F. Relationship between training volume and mood states in competitive swimmers during a 24-week season. Percept. Mot. Skills 2002, 94, 1009–1012. https://doi.org/10.2466/pms.2002.94.3.1009.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16. </w:t>
      </w:r>
      <w:r>
        <w:rPr>
          <w:rFonts w:ascii="Palatino Linotype" w:hAnsi="Palatino Linotype"/>
          <w:sz w:val="17"/>
        </w:rPr>
        <w:t>Ferreira, A.B.M.; et al. Impact of sleep restriction and intensified training on mucosal immunity and psychological responses in young soccer players. J. Strength Cond. Res. 2026, 40, e703–e713. https://doi.org/10.1519/JSC.0000000000005416.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17. </w:t>
      </w:r>
      <w:r>
        <w:rPr>
          <w:rFonts w:ascii="Palatino Linotype" w:hAnsi="Palatino Linotype"/>
          <w:sz w:val="17"/>
        </w:rPr>
        <w:t>Rohlfs, I.C.P.M.; et al. Psychometric characteristics of the Brazil Mood Scale among youth and elite athletes using two response time frames. Sports 2023, 11, 244. https://doi.org/10.3390/sports11120244.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18. </w:t>
      </w:r>
      <w:r>
        <w:rPr>
          <w:rFonts w:ascii="Palatino Linotype" w:hAnsi="Palatino Linotype"/>
          <w:sz w:val="17"/>
        </w:rPr>
        <w:t>Bird, S.P.; et al. Wellness, mood, sleep, and performance in a women’s national basketball team during international competition. J. Hum. Kinet. 2025, 96, 163–175. https://doi.org/10.5114/jhk/200117.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19. </w:t>
      </w:r>
      <w:r>
        <w:rPr>
          <w:rFonts w:ascii="Palatino Linotype" w:hAnsi="Palatino Linotype"/>
          <w:sz w:val="17"/>
        </w:rPr>
        <w:t>Ratz-Sulyok, F.Z.; et al. Associations between endocrine status and stress, mood and psychosomatic status in elite handball players. Sports 2026, 14, 289. https://doi.org/10.3390/sports14070289.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20. </w:t>
      </w:r>
      <w:r>
        <w:rPr>
          <w:rFonts w:ascii="Palatino Linotype" w:hAnsi="Palatino Linotype"/>
          <w:sz w:val="17"/>
        </w:rPr>
        <w:t>do Nascimento, M.H.; et al. Acute psychological responses to official match outcomes in male youth volleyball: An observational repeated-measures study within a single national-level team. Front. Psychol. 2026, 17, 1826372. https://doi.org/10.3389/fpsyg.2026.1826372.</w:t>
      </w:r>
    </w:p>
    <w:p>
      <w:pPr>
        <w:spacing w:line="264" w:lineRule="auto" w:after="40"/>
        <w:ind w:left="340" w:hanging="340"/>
        <w:jc w:val="both"/>
      </w:pPr>
      <w:r>
        <w:rPr>
          <w:rFonts w:ascii="Palatino Linotype" w:hAnsi="Palatino Linotype"/>
          <w:sz w:val="17"/>
        </w:rPr>
        <w:t xml:space="preserve">21. </w:t>
      </w:r>
      <w:r>
        <w:rPr>
          <w:rFonts w:ascii="Palatino Linotype" w:hAnsi="Palatino Linotype"/>
          <w:sz w:val="17"/>
        </w:rPr>
        <w:t>Ostapiuk-Karolczuk, J.; et al. Biochemical and psychological markers of fatigue and recovery in mixed martial arts athletes during strength and conditioning training. Sci. Rep. 2025, 15, 24234. https://doi.org/10.1038/s41598-025-09719-z.</w:t>
      </w:r>
    </w:p>
    <w:p>
      <w:pPr>
        <w:spacing w:before="240" w:after="60" w:line="276" w:lineRule="auto"/>
      </w:pPr>
      <w:r>
        <w:rPr>
          <w:rFonts w:ascii="Palatino Linotype" w:hAnsi="Palatino Linotype"/>
          <w:b/>
          <w:sz w:val="20"/>
        </w:rPr>
        <w:t>Material Suplementar</w:t>
      </w:r>
    </w:p>
    <w:p>
      <w:pPr>
        <w:spacing w:line="276" w:lineRule="auto" w:after="80"/>
        <w:ind w:firstLine="283"/>
        <w:jc w:val="both"/>
      </w:pPr>
      <w:r>
        <w:rPr>
          <w:rFonts w:ascii="Palatino Linotype" w:hAnsi="Palatino Linotype"/>
          <w:b w:val="0"/>
          <w:i w:val="0"/>
          <w:sz w:val="20"/>
        </w:rPr>
        <w:t>As figuras a seguir complementam os resultados do corpo do artigo e detalham a distribuição diária, a resposta aguda pré e pós-treino, as comparações par a par, a análise por derivadas e o ajuste polinomial das trajetórias.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30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bo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S1. </w:t>
      </w:r>
      <w:r>
        <w:rPr>
          <w:rFonts w:ascii="Palatino Linotype" w:hAnsi="Palatino Linotype"/>
          <w:sz w:val="18"/>
        </w:rPr>
        <w:t>Diagramas de caixa das seis dimensões do BRUMS por dia do microciclo (áreas sombreadas: início e acúmulo da semana).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948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igni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9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S2. </w:t>
      </w:r>
      <w:r>
        <w:rPr>
          <w:rFonts w:ascii="Palatino Linotype" w:hAnsi="Palatino Linotype"/>
          <w:sz w:val="18"/>
        </w:rPr>
        <w:t>Perturbação total do humor (PTH) no Dia 1, no Dia 4 e no Dia 7, com as comparações par a par (teste de Mann-Whitney; * p &lt; 0,05; ** p &lt; 0,01; ns = não significativo).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8465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_viol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4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S3. </w:t>
      </w:r>
      <w:r>
        <w:rPr>
          <w:rFonts w:ascii="Palatino Linotype" w:hAnsi="Palatino Linotype"/>
          <w:sz w:val="18"/>
        </w:rPr>
        <w:t>Distribuição da PTH por dia (diagramas de violino com caixa e média; a escala foi ajustada à faixa central da distribuição para facilitar a leitura).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74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_ecd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S4. </w:t>
      </w:r>
      <w:r>
        <w:rPr>
          <w:rFonts w:ascii="Palatino Linotype" w:hAnsi="Palatino Linotype"/>
          <w:sz w:val="18"/>
        </w:rPr>
        <w:t>Distribuição acumulada (ECDF) da PTH no Dia 1, no Dia 4 e no Dia 7; o deslocamento das curvas para a direita indica o aumento da perturbação ao longo do microciclo.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44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em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S5. </w:t>
      </w:r>
      <w:r>
        <w:rPr>
          <w:rFonts w:ascii="Palatino Linotype" w:hAnsi="Palatino Linotype"/>
          <w:sz w:val="18"/>
        </w:rPr>
        <w:t>Médias marginais diárias do vigor, da fadiga e da fadiga física, com comparação de todos os dias ao Dia 1 (* p &lt; 0,05).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846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nt_f_prep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S6. </w:t>
      </w:r>
      <w:r>
        <w:rPr>
          <w:rFonts w:ascii="Palatino Linotype" w:hAnsi="Palatino Linotype"/>
          <w:sz w:val="18"/>
        </w:rPr>
        <w:t>Escores de vigor, fadiga e perturbação total do humor no pré e no pós-treino, por dia.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51923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iv_impa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S7. </w:t>
      </w:r>
      <w:r>
        <w:rPr>
          <w:rFonts w:ascii="Palatino Linotype" w:hAnsi="Palatino Linotype"/>
          <w:sz w:val="18"/>
        </w:rPr>
        <w:t>Análise por derivadas do eixo energia–fadiga. Em cada variável, o painel superior traz a curva suavizada com o máximo e o mínimo realçados em cápsulas de valor, e o painel inferior traz a segunda derivada (concavidade) com o cruzamento por zero destacado, que marca o ponto de inflexão da trajetória.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1492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_f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4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alatino Linotype" w:hAnsi="Palatino Linotype"/>
          <w:b/>
          <w:sz w:val="18"/>
        </w:rPr>
        <w:t xml:space="preserve">Figura S8. </w:t>
      </w:r>
      <w:r>
        <w:rPr>
          <w:rFonts w:ascii="Palatino Linotype" w:hAnsi="Palatino Linotype"/>
          <w:sz w:val="18"/>
        </w:rPr>
        <w:t>Ajuste polinomial de grau três das trajetórias do vigor, da fadiga e da PTH em duas resoluções: sobre as sete médias diárias (marcadores quadrados e linha cheia) e sobre os quatorze pontos pré e pós-treino, incluída a linha de base do primeiro dia (pontos translúcidos e linha tracejada). Cada painel traz a equação do ajuste diário, o R² de cada resolução e a inflexão analítica (raiz da segunda derivada, x = -b/3a).</w:t>
      </w:r>
    </w:p>
    <w:sectPr w:rsidR="00FC693F" w:rsidRPr="0006063C" w:rsidSect="00034616">
      <w:pgSz w:w="12240" w:h="15840"/>
      <w:pgMar w:top="1247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Palatino Linotype" w:hAnsi="Palatino Linotype" w:eastAsia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