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Estatística do Monitoramento do Humor e da Carga</w:t>
      </w:r>
    </w:p>
    <w:p>
      <w:r>
        <w:rPr>
          <w:b w:val="0"/>
          <w:i/>
        </w:rPr>
        <w:t>Microciclo de choque de HIIT em atletas de handebol de elite — 21 a 28 de abril de 2024</w:t>
      </w:r>
    </w:p>
    <w:p>
      <w:r>
        <w:rPr>
          <w:b w:val="0"/>
          <w:i w:val="0"/>
        </w:rPr>
        <w:t>Relatório analítico completo · 27 atletas · 456 observações · reanálise independente (Python) · via não paramétrica. Atletas anonimizados (A01–A27).</w:t>
      </w:r>
    </w:p>
    <w:p/>
    <w:p>
      <w:pPr>
        <w:pStyle w:val="Heading1"/>
      </w:pPr>
      <w:r>
        <w:t>1. Resumo executivo</w:t>
      </w:r>
    </w:p>
    <w:p>
      <w:r>
        <w:rPr>
          <w:b w:val="0"/>
          <w:i w:val="0"/>
        </w:rPr>
        <w:t>O humor deteriorou-se de forma não linear (cúbica) ao longo do microciclo, precipitando-se no Dia 7, com a mudança concentrada no eixo energia–fadiga (vigor↓, fadiga↑). A fadiga física foi o marcador mais precoce, sensível e confiável. O efeito do HIIT é de acúmulo (não choque agudo isolado) e confunde-se com o volume. As variáveis de humor/bem-estar são não normais, exigindo métodos não paramétricos. O perfil "iceberg" caiu de 40% para 17% e a "barbatana de tubarão" subiu de 2% para 28% (fadiga somática sem colapso afetivo). A carga externa é fixa (prescrição relativa), mas a interna revela fadiga (FC de pico↓, PSE↑; session-RPE &gt; TRIMP). A variância é dominada por traço, exigindo médias de ≥3–7 coletas para decisão individual.</w:t>
      </w:r>
    </w:p>
    <w:p>
      <w:pPr>
        <w:pStyle w:val="Heading1"/>
      </w:pPr>
      <w:r>
        <w:t>2. Abordagem estatística</w:t>
      </w:r>
    </w:p>
    <w:p>
      <w:r>
        <w:rPr>
          <w:b w:val="0"/>
          <w:i w:val="0"/>
        </w:rPr>
        <w:t>Delineamento observacional longitudinal, medidas repetidas (observações ⊂ dias ⊂ atletas). Unidade amostral para contrastes: o atleta (agregação por atleta), corrigindo a pseudorreplicação. α=0,05; Python (numpy, scipy, statsmodels). A normalidade foi testada por Shapiro–Wilk (com assimetria/curtose) em dois níveis (distribuição bruta e escores de mudança por atleta). Como as variáveis de humor/bem-estar são não normais, adotou-se a via NÃO PARAMÉTRICA: mediana (IQR), Spearman/rmcorr, Wilcoxon/Mann-Whitney, Kruskal-Wallis, PERMANOVA (permutação restrita ao atleta), bootstrap e fatores de Bayes/ROPE. Variáveis contínuas normais (aptidão/antropometria) admitem via paramétrica.</w:t>
      </w:r>
    </w:p>
    <w:p>
      <w:pPr>
        <w:pStyle w:val="Heading1"/>
      </w:pPr>
      <w:r>
        <w:t>3. Caracterização da amostra</w:t>
      </w:r>
    </w:p>
    <w:p>
      <w:r>
        <w:rPr>
          <w:b/>
          <w:sz w:val="19"/>
        </w:rPr>
        <w:t>Tabela 1. Características da amostra (n=27).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Idade (anos)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22.0 ± 3.8 (17–38)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Experiência (anos)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10.5 ± 3.8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Estatura (cm)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182.5 ± 6.5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Massa (kg)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85.8 ± 15.7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Gordura (%)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11.6 ± 5.3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T-CAR PV (km/h)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14.92 ± 1.06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Posição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Armador 41% · Ala 33% · Pivô 15% · Goleiro 11%</w:t>
            </w:r>
          </w:p>
        </w:tc>
      </w:tr>
    </w:tbl>
    <w:p/>
    <w:p>
      <w:pPr>
        <w:pStyle w:val="Heading1"/>
      </w:pPr>
      <w:r>
        <w:t>4. Teste de normalidade (Shapiro–Wilk)</w:t>
      </w:r>
    </w:p>
    <w:p>
      <w:r>
        <w:rPr>
          <w:b/>
          <w:sz w:val="19"/>
        </w:rPr>
        <w:t>Tabela 2. Normalidade da distribuição (14/18 não normais).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W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Shapiro p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Assim.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Normal?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Família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Vigor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0.974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2.8e-07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(BRUMS)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0.949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2.2e-11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física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0.961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1.1e-09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-0.37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Fadiga mental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0.955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1.2e-10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0.895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4.2e-17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1.48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Tensão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0.766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5.5e-25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1.43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Depressão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0.489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4.1e-34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3.63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Raiva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2.9e-29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2.06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Confusão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2.8e-35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3.73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Recuperação (TQR)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0.922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4.7e-12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Sonolência (Epworth)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0.962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1.9e-09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-0.16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Estresse (PSS)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0.987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3.3e-04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-0.05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Velocidade (104%PV)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3.2e-01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Distância/sessão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0.956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3.2e-01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T-CAR PV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4.1e-01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CMJ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0.974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7.1e-01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-0.24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Massa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0.912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3.3e-02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1.16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Estatura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0.907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2.6e-02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1.01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não paramétrica</w:t>
            </w:r>
          </w:p>
        </w:tc>
      </w:tr>
    </w:tbl>
    <w:p/>
    <w:p>
      <w:r>
        <w:rPr>
          <w:b w:val="0"/>
          <w:i/>
        </w:rPr>
        <w:t>Decisão: humor e bem-estar não normais → via NÃO PARAMÉTRICA. Nos escores de mudança (D7−D1), o eixo energia–fadiga é aproximadamente normal, mas as subescalas negativas não (Wilcoxon).</w:t>
      </w:r>
    </w:p>
    <w:p>
      <w:pPr>
        <w:pStyle w:val="Heading1"/>
      </w:pPr>
      <w:r>
        <w:t>5. Estatística descritiva (mediana [IQR]; % piso)</w:t>
      </w:r>
    </w:p>
    <w:p>
      <w:r>
        <w:rPr>
          <w:b/>
          <w:sz w:val="19"/>
        </w:rPr>
        <w:t>Tabela 3. Descritivas robustas (456 observações).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Mediana [IQR]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Assim.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% piso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Vigor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6.0 [4.0]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8.6%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BRUMS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5.0 [5.0]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7.7%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física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6.0 [3.0]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-0.38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mental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4.0 [5.0]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5.3%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2.0 [10.0]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1.49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0.2%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Tensão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1.0 [2.0]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1.44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49.6%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Depressão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 [1.0]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3.64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67.1%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Raiva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 [2.0]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2.07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59.6%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Confusão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 [0.0]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3.75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80.5%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oc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1. Associação Fadiga física × Vigor (oposição energia–fadiga).</w:t>
      </w:r>
    </w:p>
    <w:p>
      <w:pPr>
        <w:pStyle w:val="Heading1"/>
      </w:pPr>
      <w:r>
        <w:t>6. Confiabilidade e estrutura (psicometria)</w:t>
      </w:r>
    </w:p>
    <w:p>
      <w:r>
        <w:rPr>
          <w:b/>
          <w:sz w:val="19"/>
        </w:rPr>
        <w:t>Tabela 4. Síntese psicométrica.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Índice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Consistência interna (α)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Fadiga 0,80 · Depressão 0,85 · Raiva 0,87 · Tensão 0,43 (piso)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Adequação fatorial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KMO=0,835; Bartlett χ²(276)=5.228; p&lt;0,001; 6 fatores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Decomposição de variância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Traço (ICC atleta) 0,26–0,67 — humor dominantemente traço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Precisão da decisão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 coleta Φ=0,57; ≥3 coletas Φ≥0,80; ICC(1,7)=0,76–0,94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Lei do piso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|dz| = 0,588 − 0,0063·(%piso); ρ=−0,92; R²=0,85</w:t>
            </w:r>
          </w:p>
        </w:tc>
      </w:tr>
    </w:tbl>
    <w:p/>
    <w:p>
      <w:pPr>
        <w:pStyle w:val="Heading1"/>
      </w:pPr>
      <w:r>
        <w:t>7. Efeito do dia e trajetória temporal</w:t>
      </w:r>
    </w:p>
    <w:p>
      <w:r>
        <w:rPr>
          <w:b/>
          <w:sz w:val="19"/>
        </w:rPr>
        <w:t>Tabela 5. Efeito do dia (modelo misto; FDR).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F (aprox.)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 (FDR)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ICC atleta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física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18,9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&lt;0,001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0,46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Vigor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&lt;0,001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0,57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(BRUMS)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&lt;0,001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0,59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5,1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&lt;0,001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0,59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Depressão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1,6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0,150 (n.s.)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0,68</w:t>
            </w:r>
          </w:p>
        </w:tc>
      </w:tr>
    </w:tbl>
    <w:p/>
    <w:p>
      <w:r>
        <w:rPr>
          <w:b w:val="0"/>
          <w:i w:val="0"/>
        </w:rPr>
        <w:t>Forma da trajetória: componentes ortogonais LINEAR + CÚBICA significativas (quadrática ausente); crescimento cúbico vence por AIC/LRT (p&lt;0,001). Três fases: subida → alívio no meio → precipitação no Dia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rajeto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2. Trajetória semanal (faixas = dias de HIIT).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ub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3. Ajuste polinomial cúbico com IC95% (subida–alívio–precipitação).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rivad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4. Limites e derivadas: velocidade e aceleração da mudança.</w:t>
      </w:r>
    </w:p>
    <w:p>
      <w:pPr>
        <w:pStyle w:val="Heading1"/>
      </w:pPr>
      <w:r>
        <w:t>8. Resposta aguda pré→pós (agregada por atleta; Wilcoxon/dz; FDR)</w:t>
      </w:r>
    </w:p>
    <w:p>
      <w:r>
        <w:rPr>
          <w:b/>
          <w:sz w:val="19"/>
        </w:rPr>
        <w:t>Tabela 6. Resposta aguda; só o eixo energia–fadiga sobrevive à correção.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Δ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dz [IC95%]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 (FDR)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física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+1,81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+0,97 [0,69; 1,37]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&lt;0,001 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Fadiga (BRUMS)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+1,76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+0,59 [0,36; 0,88]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0,019 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PTH/TMD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+3,14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+0,57 [0,29; 0,89]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0,019 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Vigor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−0,80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−0,45 [−0,80; −0,12]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0,061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Subescalas negativas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|dz| ≤ 0,40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n.s.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efei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5. Tamanhos de efeito D1→D7 (dz, IC95% bootstrap).</w:t>
      </w:r>
    </w:p>
    <w:p>
      <w:pPr>
        <w:pStyle w:val="Heading1"/>
      </w:pPr>
      <w:r>
        <w:t>9. Confirmação multivariada e associações</w:t>
      </w:r>
    </w:p>
    <w:p>
      <w:r>
        <w:rPr>
          <w:b/>
          <w:sz w:val="19"/>
        </w:rPr>
        <w:t>Tabela 7. Multivariada (permutação restrita ao atleta).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Teste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Estatística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PERMANOVA — pré vs pós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pseudo-F=1,75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0,003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PERMANOVA — HIIT vs não-HIIT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pseudo-F=2,71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0,008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Hotelling T² — eixo energia–fadiga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F(2,25)=5,59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0,010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Misto multivariado — LRT do dia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χ²(4)=118,9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≈9×10⁻²⁵</w:t>
            </w:r>
          </w:p>
        </w:tc>
      </w:tr>
    </w:tbl>
    <w:p/>
    <w:p>
      <w:r>
        <w:rPr>
          <w:b w:val="0"/>
          <w:i w:val="0"/>
        </w:rPr>
        <w:t>Estrutura entre-atletas: vigor↔fadiga = −0,65; fadiga↔TMD = +0,86 → eixo bipolar energia↔fadiga como dimensão de traço.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oc_cor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6. Matriz de correlação (ρ de Spearman) — associações entre as variáveis.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rrel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7. Correlação entre-atletas (modelo misto multivariado).</w:t>
      </w:r>
    </w:p>
    <w:p>
      <w:pPr>
        <w:pStyle w:val="Heading1"/>
      </w:pPr>
      <w:r>
        <w:t>10. Perfis de humor (Parsons-Smith) — análise transversal</w:t>
      </w:r>
    </w:p>
    <w:p>
      <w:r>
        <w:rPr>
          <w:b/>
          <w:sz w:val="19"/>
        </w:rPr>
        <w:t>Tabela 8. Distribuição dos perfis (%) — início/meio/fim.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Dia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Iceberg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 xml:space="preserve">Barbatana 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Superfície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Iceberg in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Everest in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Submerso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26%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35%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8%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D7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17%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9%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11%</w:t>
            </w:r>
          </w:p>
        </w:tc>
      </w:tr>
    </w:tbl>
    <w:p/>
    <w:p>
      <w:r>
        <w:rPr>
          <w:b w:val="0"/>
          <w:i w:val="0"/>
        </w:rPr>
        <w:t>O grupo começa saudável (iceberg 40%, índice-iceberg z=+0,52) e termina fatigado (iceberg 17%, barbatana 28%, índice=−0,47). Mann-Whitney D1×D7 p=0,0015. Pré→pós: humor piora dentro do dia (Wilcoxon p=0,0005). Maior variação no Dia 6 (Fligner p=0,26, variância homogênea).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1_are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8. Distribuição dos 6 perfis ao longo da semana (iceberg↓, barbatana↑).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6_rad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9. Forma do perfil: Dia 1 (iceberg) vs Dia 7 (achatado).</w:t>
      </w:r>
    </w:p>
    <w:p>
      <w:pPr>
        <w:pStyle w:val="Heading1"/>
      </w:pPr>
      <w:r>
        <w:t>11. Relações: fadiga física × mental × BRUMS</w:t>
      </w:r>
    </w:p>
    <w:p>
      <w:r>
        <w:rPr>
          <w:b/>
          <w:sz w:val="19"/>
        </w:rPr>
        <w:t>Tabela 9. Associações da tríade de fadiga.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Par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Spearman ρ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rmcorr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Fadiga física × Fadiga BRUMS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+0,68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+0,64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Fadiga física × Fadiga mental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+0,50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+0,44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Fadiga mental × Fadiga BRUMS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+0,46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+0,45</w:t>
            </w:r>
          </w:p>
        </w:tc>
      </w:tr>
    </w:tbl>
    <w:p/>
    <w:p>
      <w:r>
        <w:rPr>
          <w:b w:val="0"/>
          <w:i w:val="0"/>
        </w:rPr>
        <w:t>Dissociação: fadiga física e do BRUMS sobem juntas e quase dobram (4→7,5); a fadiga mental permanece estável (4,8→5,1). O custo do microciclo é somático, não afetivo — coerente com o perfil "barbatana".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5_fadig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10. Fadiga física × BRUMS × mental (LOWESS): física e BRUMS sobem juntas; mental dissocia.</w:t>
      </w:r>
    </w:p>
    <w:p>
      <w:pPr>
        <w:pStyle w:val="Heading1"/>
      </w:pPr>
      <w:r>
        <w:t>12. Carga interna e externa</w:t>
      </w:r>
    </w:p>
    <w:p>
      <w:r>
        <w:rPr>
          <w:b/>
          <w:sz w:val="19"/>
        </w:rPr>
        <w:t>Tabela 10. Carga do grupo.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Externa (4×4 min @104% PV)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Velocidade 16,5 ± 1,2 km/h; distância 2.929 ± 207 m/sessão; total ≈8,8 km (fixa entre sessões)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Interna (S1→S3)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FC pico 184→181 bpm (Friedman p&lt;0,001); TRIMP 50,6→46,4 (cai); PSE/sRPE 196→208 (sobe)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Dissociação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TRIMP cardíaco subestima sob fadiga; session-RPE é o marcador interno fiel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Acoplamento (rmcorr)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FC pico × vigor +0,57; × TMD −0,48; × fadiga física −0,51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arga_intern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11. Dissociação da carga interna (FC/TRIMP↓ vs PSE/sRPE↑).</w:t>
      </w:r>
    </w:p>
    <w:p>
      <w:pPr>
        <w:pStyle w:val="Heading1"/>
      </w:pPr>
      <w:r>
        <w:t>13. Segmentação por aptidão (não paramétrica)</w:t>
      </w:r>
    </w:p>
    <w:p>
      <w:r>
        <w:rPr>
          <w:b/>
          <w:sz w:val="19"/>
        </w:rPr>
        <w:t>Tabela 11. Fadiga física por tercil de aptidão.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Grupo (tercil T-CAR)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D1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dz D1→D7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Aptidão baixa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4,9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8,71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+1,62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Aptidão média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3,71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7,02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+1,50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Aptidão alta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3,94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7,25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+1,85</w:t>
            </w:r>
          </w:p>
        </w:tc>
      </w:tr>
    </w:tbl>
    <w:p/>
    <w:p>
      <w:r>
        <w:rPr>
          <w:b w:val="0"/>
          <w:i w:val="0"/>
        </w:rPr>
        <w:t>Kruskal-Wallis no D7: H=4,46; p=0,107 (não significativo com n≈8–10/grupo), embora o tamanho de efeito entre extremos seja grande (g=−1,18). Aptidão × fadiga da semana ρ=−0,54 (p=0,005); robusto ao escalonamento alométrico (ρ=−0,52).</w:t>
      </w:r>
    </w:p>
    <w:p>
      <w:pPr>
        <w:pStyle w:val="Heading1"/>
      </w:pPr>
      <w:r>
        <w:t>14. Modelos avançados (ROC, bayesiano, polinomial)</w:t>
      </w:r>
    </w:p>
    <w:p>
      <w:r>
        <w:rPr>
          <w:b/>
          <w:sz w:val="19"/>
        </w:rPr>
        <w:t>Tabela 12. Discriminância (ROC): o sinal está no acúmulo, não na sessão.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Tarefa (ROC)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Melhor variável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AUC [IC95%]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Discriminar sessão de HIIT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Fadiga física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0,54 [0,48; 0,60]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Discriminar acúmulo (D7 vs D1)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Fadiga física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0,86 [0,77; 0,92]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Discriminar dia de fadiga alta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Fadiga (BRUMS)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0,84 [0,80; 0,88]</w:t>
            </w:r>
          </w:p>
        </w:tc>
      </w:tr>
    </w:tbl>
    <w:p/>
    <w:p>
      <w:r>
        <w:rPr>
          <w:b w:val="0"/>
          <w:i w:val="0"/>
        </w:rPr>
        <w:t>Bayesiano: fadiga física BF₁₀≈2444 (extrema); PTH 22,4; Fadiga 11,3; Vigor 5,9 (efeito). Confusão BF₁₀≈0,23 e 93% na ROPE → evidência para equivalência (ausência de efeito, não só p&gt;0,05). Polinomial: cúbico vence (AIC; LRT p&lt;0,001).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r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12. Curvas ROC: acúmulo (AUC=0,86) vs sessão (AUC≈0,5).</w:t>
      </w:r>
    </w:p>
    <w:p>
      <w:pPr>
        <w:pStyle w:val="Heading1"/>
      </w:pPr>
      <w:r>
        <w:t>15. Conclusões</w:t>
      </w:r>
    </w:p>
    <w:p>
      <w:pPr>
        <w:pStyle w:val="ListBullet"/>
      </w:pPr>
      <w:r>
        <w:t>Pressupostos: humor/bem-estar não normais → via não paramétrica (a paramétrica não é reportada onde a variável é não normal).</w:t>
      </w:r>
    </w:p>
    <w:p>
      <w:pPr>
        <w:pStyle w:val="ListBullet"/>
      </w:pPr>
      <w:r>
        <w:t>Fenômeno: deterioração não linear (cúbica), precipitação no Dia 7, concentrada no eixo energia–fadiga; fadiga física como marcador-sentinela.</w:t>
      </w:r>
    </w:p>
    <w:p>
      <w:pPr>
        <w:pStyle w:val="ListBullet"/>
      </w:pPr>
      <w:r>
        <w:t>HIIT: efeito de acúmulo (só o D7 difere; interação Condição×Momento n.s.), confundido com volume — não é dose-resposta.</w:t>
      </w:r>
    </w:p>
    <w:p>
      <w:pPr>
        <w:pStyle w:val="ListBullet"/>
      </w:pPr>
      <w:r>
        <w:t>Perfis: iceberg→barbatana de tubarão (fadiga somática sem colapso afetivo); fadiga mental dissocia.</w:t>
      </w:r>
    </w:p>
    <w:p>
      <w:pPr>
        <w:pStyle w:val="ListBullet"/>
      </w:pPr>
      <w:r>
        <w:t>Carga: externa fixa; interna revela fadiga; session-RPE &gt; TRIMP.</w:t>
      </w:r>
    </w:p>
    <w:p>
      <w:pPr>
        <w:pStyle w:val="ListBullet"/>
      </w:pPr>
      <w:r>
        <w:t>Medida: variância dominada por traço ⇒ decisão individual por médias de ≥3–7 coletas e MDC; a não-resposta das negativas é efeito piso (Bayes favorável ao nulo).</w:t>
      </w:r>
    </w:p>
    <w:p>
      <w:pPr>
        <w:pStyle w:val="ListBullet"/>
      </w:pPr>
      <w:r>
        <w:t>Robustez: convergência entre modelos mistos, permutação, bayesiano, bootstrap e ROC.</w:t>
      </w:r>
    </w:p>
    <w:p>
      <w:pPr>
        <w:pStyle w:val="Heading1"/>
      </w:pPr>
      <w:r>
        <w:t>16. Referências</w:t>
      </w:r>
    </w:p>
    <w:p>
      <w:pPr>
        <w:spacing w:after="60"/>
      </w:pPr>
      <w:r>
        <w:rPr>
          <w:sz w:val="18"/>
        </w:rPr>
        <w:t>Beedie, C., Terry, P. C., &amp; Lane, A. M. (2000). The profile of mood states and athletic performance: Two meta-analyses. Journal of Applied Sport Psychology, 12(1), 49–68.</w:t>
      </w:r>
    </w:p>
    <w:p>
      <w:pPr>
        <w:spacing w:after="60"/>
      </w:pPr>
      <w:r>
        <w:rPr>
          <w:sz w:val="18"/>
        </w:rPr>
        <w:t>Bonfim, B. M. A. do, Bonuzzi, G. M. G., &amp; Monteiro, C. B. de M. (2023). Human Movement, 24(4), 72–79.</w:t>
      </w:r>
    </w:p>
    <w:p>
      <w:pPr>
        <w:spacing w:after="60"/>
      </w:pPr>
      <w:r>
        <w:rPr>
          <w:sz w:val="18"/>
        </w:rPr>
        <w:t>Horta, T. A. G., Lima, P., &amp; Matta, G. (2020). Revista Brasileira de Medicina do Esporte, 26(2), 158–161.</w:t>
      </w:r>
    </w:p>
    <w:p>
      <w:pPr>
        <w:spacing w:after="60"/>
      </w:pPr>
      <w:r>
        <w:rPr>
          <w:sz w:val="18"/>
        </w:rPr>
        <w:t>Yang, S., Yin, Y., &amp; Qiu, Z. (2024). Frontiers in Neuroscience, 18, 1341972.</w:t>
      </w:r>
    </w:p>
    <w:p>
      <w:pPr>
        <w:spacing w:after="60"/>
      </w:pPr>
      <w:r>
        <w:rPr>
          <w:sz w:val="18"/>
        </w:rPr>
        <w:t>Liu, H., Yang, W., &amp; Liu, H. (2023). BMC Sports Science, Medicine and Rehabilitation, 15(1).</w:t>
      </w:r>
    </w:p>
    <w:p>
      <w:pPr>
        <w:spacing w:after="60"/>
      </w:pPr>
      <w:r>
        <w:rPr>
          <w:sz w:val="18"/>
        </w:rPr>
        <w:t>Parsons-Smith, R. L., Terry, P. C., &amp; Machin, M. A. (2017). Frontiers in Psychology, 8, 1958.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