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26"/>
        </w:rPr>
        <w:t>ANÁLISE TEMPORAL DO HUMOR: EFEITO AGUDO E CRÔNICO, DERIVADAS, LIMIARES E APTIDÃO</w:t>
      </w:r>
    </w:p>
    <w:p>
      <w:pPr>
        <w:spacing w:before="40" w:after="80"/>
      </w:pPr>
      <w:r>
        <w:rPr>
          <w:rFonts w:ascii="Times New Roman" w:hAnsi="Times New Roman"/>
          <w:b/>
          <w:sz w:val="24"/>
        </w:rPr>
        <w:t>Objetivo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Mapear, para todas as dimensões do BRUMS, onde e quanto o humor muda ao longo da semana: em cada transição sequencial (efeito agudo, do pré ao pós-treino, e efeito de recuperação, do pós de um dia ao pré do dia seguinte), no efeito agudo médio comparado ao efeito crônico, na forma das curvas por derivadas, e com o ajuste pela aptidão (pico de velocidade no T-car).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1 Mapa temporal: onde e quanto cada variável muda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Figura 1 traz o mapa completo das doze transições sequenciais para todas as dimensões, com o tamanho de efeito (dz) de cada mudança e a marcação das significativas. A Tabela 1 lista apenas as transições significativas, com a variável, o dia, o momento e o tamanho de efeito.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300000" cy="281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1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1 – Mapa temporal das doze transições sequenciais (dz por transição; * p &lt; 0,05; A = agudo pré para pós; R = recuperação pós para o pré do dia seguinte).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1 – Transições com mudança significativa: exatamente onde (dia e momento), em qual variável e quanto (tamanho de efeito).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Transição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Tipo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Variável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Δ médio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dz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D1 base → D2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Vigor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-2,12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-0,69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0,003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D1 base → D2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Depressão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+0,77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0,042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D1 base → D2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PTH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+3,15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0,024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D2 pré → D2 pós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Fadiga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+2,58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+0,64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0,008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D2 pré → D2 pós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Fadiga física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+2,50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+0,97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&lt; 0,001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D2 pós → D3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Vigor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+1,16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0,030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D2 pós → D3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Fadiga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-1,76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-0,51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0,017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D2 pós → D3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Tensão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-0,56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-0,48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0,027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D2 pós → D3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Depressão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-0,52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-0,41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0,047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D2 pós → D3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PTH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-3,84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-0,56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0,014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D2 pós → D3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Fadiga física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-1,16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-0,46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0,038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D3 pré → D3 pós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Fadiga física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+0,86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0,049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D3 pós → D4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Raiva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-0,84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-0,55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0,027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D4 pré → D4 pós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Fadiga física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+1,61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+0,79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0,004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D4 pós → D5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PTH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-5,12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-0,63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0,017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D4 pós → D5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Fadiga física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-2,41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-0,90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0,005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D5 pré → D5 pós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Fadiga física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+1,42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+0,73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0,005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D6 pré → D6 pós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Vigor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-2,10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-0,64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0,009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D6 pré → D6 pós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Depressão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+1,05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0,011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D6 pré → D6 pós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Raiva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+1,60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+0,62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0,010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D6 pré → D6 pós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PTH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+6,65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+0,75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0,007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D6 pré → D6 pós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Fadiga física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+1,10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+0,51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0,042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D6 pós → D7 pré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Tensão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-0,47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-0,40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0,034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D7 pré → D7 pós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Fadiga física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+1,81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+0,73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0,013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D7 pré → D7 pós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Fadiga mental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+0,88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0,043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Wilcoxon pareado. Agudo = pré para pós no mesmo dia; Recuperação = pós para o pré do dia seguinte.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2 Efeito agudo por dia (pré e pós-treino, D2 a D7)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2 – Efeito agudo (pré para pós) por dia e por dimensão (tamanho de efeito dz; * p &lt; 0,05).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Dia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Vigor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Fadiga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Tensão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Depressão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Raiva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Confusão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PTH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Fadiga física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Fadiga mental</w:t>
            </w:r>
          </w:p>
        </w:tc>
      </w:tr>
      <w:tr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D2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-0,39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+0,64*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+0,00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-0,11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-0,41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-0,05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+0,31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+0,97*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+0,20</w:t>
            </w:r>
          </w:p>
        </w:tc>
      </w:tr>
      <w:tr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D3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-0,22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+0,28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+0,27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+0,25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-0,06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-0,36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+0,16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+0,47*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-0,16</w:t>
            </w:r>
          </w:p>
        </w:tc>
      </w:tr>
      <w:tr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D4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-0,26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+0,23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+0,37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-0,24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+0,42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+0,29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+0,50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+0,79*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+0,29</w:t>
            </w:r>
          </w:p>
        </w:tc>
      </w:tr>
      <w:tr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D5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-0,12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+0,38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-0,15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+0,10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-0,05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-0,40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+0,17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+0,73*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+0,23</w:t>
            </w:r>
          </w:p>
        </w:tc>
      </w:tr>
      <w:tr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D6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-0,64*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+0,36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+0,26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+0,57*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+0,62*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+0,23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+0,75*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+0,51*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+0,37</w:t>
            </w:r>
          </w:p>
        </w:tc>
      </w:tr>
      <w:tr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D7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-0,20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+0,48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+0,39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+0,22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+0,27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-0,25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+0,53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+0,73*</w:t>
            </w:r>
          </w:p>
        </w:tc>
        <w:tc>
          <w:tcPr>
            <w:tcW w:type="dxa" w:w="97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+0,57*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dz do pré para o pós no mesmo dia (Wilcoxon pareado). Valores positivos = aumento do pré para o pós.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3 – Efeito agudo médio da semana (pré para pós, todas as coletas).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dz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-0,47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0,025</w:t>
            </w:r>
          </w:p>
        </w:tc>
      </w:tr>
      <w:tr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+0,57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</w:tr>
      <w:tr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+0,43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0,057</w:t>
            </w:r>
          </w:p>
        </w:tc>
      </w:tr>
      <w:tr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+0,24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0,687</w:t>
            </w:r>
          </w:p>
        </w:tc>
      </w:tr>
      <w:tr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+0,13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0,745</w:t>
            </w:r>
          </w:p>
        </w:tc>
      </w:tr>
      <w:tr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-0,01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0,706</w:t>
            </w:r>
          </w:p>
        </w:tc>
      </w:tr>
      <w:tr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+0,58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0,009</w:t>
            </w:r>
          </w:p>
        </w:tc>
      </w:tr>
      <w:tr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+0,94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  <w:tr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mental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+0,38</w:t>
            </w:r>
          </w:p>
        </w:tc>
        <w:tc>
          <w:tcPr>
            <w:tcW w:type="dxa" w:w="32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0,162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3 Efeito agudo comparado ao efeito crônico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Figura 2 e a Tabela 4 contrastam o efeito agudo médio dentro do dia com o efeito crônico acumulado entre o primeiro e o último dia. Em todas as dimensões do eixo energia–fadiga, o efeito crônico supera o agudo, sinal de que a mudança se acumula ao longo da semana e não se resume à resposta imediata de uma sessão.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agudo_cron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2 – Efeito agudo (média intradia pré para pós) e efeito crônico (mudança D1 para D7) por variável (* efeito crônico significativo).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4 – Efeito agudo médio (intradia), efeito de recuperação médio (entre dias) e efeito crônico (D1 para D7).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Agudo (intradia)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Recuperação (entre dias)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Crônico (D1–D7)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dz crônico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 crônico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-0,88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-4,14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-1,33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+1,36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-0,67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+3,93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0,003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-0,33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-1,26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-0,60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0,011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-0,04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0,504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0,875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-0,67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0,020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+3,07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-1,72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+7,36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+0,55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0,018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física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+1,55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-0,69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+3,93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+1,88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mental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+0,50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-0,21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+0,95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+0,53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0,031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4 Limites e derivadas por variável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Tabela 5 resume, para cada dimensão, os limites da sessão (mínimo e máximo da curva suavizada), o ponto de inflexão (raiz da segunda derivada, onde a taxa de variação atinge o seu limite) e o pico de velocidade da mudança (máximo da primeira derivada), com o dia em que ocorre.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5 – Limites, ponto de inflexão e pico de velocidade da mudança de cada dimensão (curvas suavizadas).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Mín.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Máx.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Inflexão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Vel. pico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Dia da vel. pico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3,8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-4,6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4,0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+2,5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4,8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3,2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3,0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7,2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5,4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3,5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+7,2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física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4,6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+3,3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7,2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mental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5,4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3,9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7,2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Vel. pico = máximo do módulo da primeira derivada (pontos por dia). A figura das derivadas de todas as variáveis consta do documento de resultados.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5 Limiares de mudança confiável (MDC)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6 – Erro-padrão de medida (SEM) e mudança mínima detectável (MDC95) por dimensão: o quanto uma variação precisa exceder para ser considerada real.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SEM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MDC95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SWC</w:t>
            </w:r>
          </w:p>
        </w:tc>
      </w:tr>
      <w:tr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0,53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2,1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</w:t>
            </w:r>
          </w:p>
        </w:tc>
      </w:tr>
      <w:tr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0,61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2,4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6,5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</w:t>
            </w:r>
          </w:p>
        </w:tc>
      </w:tr>
      <w:tr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0,64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2,8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</w:t>
            </w:r>
          </w:p>
        </w:tc>
      </w:tr>
      <w:tr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0,68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3,6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</w:t>
            </w:r>
          </w:p>
        </w:tc>
      </w:tr>
      <w:tr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0,39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2,1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</w:t>
            </w:r>
          </w:p>
        </w:tc>
      </w:tr>
      <w:tr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0,36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2,6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</w:t>
            </w:r>
          </w:p>
        </w:tc>
      </w:tr>
      <w:tr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0,67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15,1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</w:t>
            </w:r>
          </w:p>
        </w:tc>
      </w:tr>
      <w:tr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0,47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1,7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4,7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</w:t>
            </w:r>
          </w:p>
        </w:tc>
      </w:tr>
      <w:tr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mental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0,81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1,2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3,4</w:t>
            </w:r>
          </w:p>
        </w:tc>
        <w:tc>
          <w:tcPr>
            <w:tcW w:type="dxa" w:w="194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SEM = DP × √(1 - ICC); MDC95 = 1,96 × √2 × SEM; SWC = 0,2 × DP entre atletas. Uma mudança individual só é real se exceder a MDC95.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6 Ajuste pela aptidão: mais aptos vs menos aptos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Os atletas foram divididos pela mediana do pico de velocidade (14,6 km/h). A Figura 3 e a Tabela 7 comparam a deterioração (D1 para D7) entre os mais e os menos aptos. Os menos aptos tenderam a perder mais vigor e a acumular mais perturbação, mas nenhuma diferença alcançou significância (todos p &gt; 0,13), e a correlação entre o pico de velocidade e a deterioração foi fraca em todas as dimensões. A aptidão define o patamar do humor na semana, e não a magnitude da sua deterioração.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aptid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3 – Deterioração D1 para D7 por variável nos atletas mais aptos e menos aptos (mediana do pico de velocidade).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7 – Deterioração D1 para D7 nos mais e menos aptos, com a comparação entre grupos e a correlação com o pico de velocidade.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Mais aptos (Δ)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Menos aptos (Δ)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 (grupos)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 (PV × Δ)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 (PV)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-3,2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-5,2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0,139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+0,29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0,214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+3,6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+4,4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0,596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0,488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-1,4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0,591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0,795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0,670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+0,01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0,973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0,558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-0,26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0,264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0,634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0,391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+4,8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+10,1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0,427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-0,21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0,376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física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+3,8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+4,0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0,760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0,621</w:t>
            </w:r>
          </w:p>
        </w:tc>
      </w:tr>
      <w:tr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mental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+1,2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0,445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-0,03</w:t>
            </w:r>
          </w:p>
        </w:tc>
        <w:tc>
          <w:tcPr>
            <w:tcW w:type="dxa" w:w="162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0,896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Δ = mudança D1 para D7; p (grupos) por Mann-Whitney; ρ por Spearman entre o pico de velocidade e a deterioração.</w:t>
      </w:r>
    </w:p>
    <w:sectPr w:rsidR="00FC693F" w:rsidRPr="0006063C" w:rsidSect="00034616">
      <w:pgSz w:w="12240" w:h="15840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