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CORRELATOS FISIOLÓGICOS E DE BEM-ESTAR DA RESPOSTA DE HUMOR NUM MICROCICLO PRÉ-COMPETITIVO DE HANDEBOL DE ELITE: APTIDÃO AERÓBIA, CAPACIDADE ANAERÓBIA, SONO E ESTRESSE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examinar os correlatos fisiológicos e de bem-estar da resposta de humor de handebolistas de elite num microciclo pré-competitivo — aptidão aeróbia intermitente (pico de velocidade do Teste de Carminatti), capacidade anaeróbia (sprints repetidos), composição corporal, sonolência e estresse percebido.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treino; 286 observações) e foram avaliados por antropometria, salto vertical (CMJ), teste de sprints repetidos (Baker), Teste de Carminatti (T-CAR), Escala de Sonolência de Epworth e Escala de Estresse Percebido (PSS-14). Empregaram-se correlação de Spearman, regressão, limiares (índice de Youden e tercis), ajuste alométrico, correlação parcial e análise de moduladores da magnitude dos efeitos (coeficiente de determinação R²).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do humor concentrou-se no eixo energia–fadiga (vigor d = -1,33; fadiga d = +0,78; MANOVA Wilks λ = 0,181; p &lt; 0,001). A aptidão aeróbia intermitente foi o correlato fisiológico mais forte: maior pico de velocidade associou-se a menos fadiga física (ρ = -0,51) e a mais vigor (ρ = +0,47), com limiar de aproximadamente 14,9 km/h e faixas de risco definidas por dois cortes. A capacidade anaeróbia (sprints repetidos) não se associou de forma significativa à fadiga (melhor tempo × fadiga física ρ = +0,26), e o vínculo aparente desapareceu ao controlar a massa corporal (ρ parcial = +0,11), o que evidencia especificidade aeróbia. A sonolência elevou-se ao longo da semana e acompanhou a fadiga e a perturbação total do humor, ao passo que o estresse percebido se manteve estável. A magnitude dos efeitos agudo e crônico foi amplamente independente do perfil individual (coeficientes de determinação baixos).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entre os parâmetros examinados, a aptidão aeróbia intermitente destacou-se como o correlato fisiológico genuíno da fadiga do humor, ao passo que a capacidade anaeróbia e o porte corporal não a explicaram; a sonolência acrescentou uma leitura de recuperação e o estresse percebido delimitou a especificidade da resposta à carga de treino. Por captar uma dimensão subjetiva que os marcadores periféricos nem sempre revelam, o humor atua como sentinela complementar, e não redundante, à leitura fisiológica; recomenda-se, assim, um monitoramento multidomínio centrado no eixo energia–fadiga, no qual a aptidão aeróbia oferece a referência para individualizar a carga.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aptidão aeróbia; Teste de Carminatti; humor; BRUMS; handebol; monitoramento do atleta.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 O valor desse autorrelato não se esgota na conveniência: sob treino intensificado, a perturbação do humor pode persistir mesmo depois de marcadores bioquímicos de fadiga terem regredido, assincronia entre a recuperação psicológica e a fisiológica que fundamenta a integração das duas leituras num monitoramento multidomínio (OSTAPIUK-KAROLCZUK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tem sido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têm sido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esportivo; em meta-análise de estudos com atletas competitivos, a perturbação total do humor predisse o rendimento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Embora a resposta de humor à carga de treino esteja bem documentada, permanece pouco esclarecido quais parâmetros fisiológicos e de bem-estar rastreiam a sua magnitude num microciclo pré-competitivo de handebol de elite — questão central para um monitoramento multidomínio, que combina marcadores neuromusculares, cardioautonômicos e de autorrelato (NAUGHTON et al., 2023). Diante dessa lacuna, o objetivo geral consistiu em examinar os correlatos fisiológicos e de bem-estar da resposta de humor desses atletas na última semana de pré-temporada. De modo específico, o estudo propôs-se a: (i) caracterizar a amostra e confirmar a deterioração do humor no eixo energia–fadiga; (ii) analisar a relação entre a aptidão aeróbia intermitente (pico de velocidade do T-CAR) e a resposta de humor, com limiares de decisão; (iii) contrastar essa relação com a da capacidade anaeróbia (sprints repetidos) e com a da composição corporal, com controle do porte do atleta; (iv) caracterizar a sonolência e o estresse percebido e a sua relação com o humor; e (v) quantificar em que medida as características do atleta modulam a magnitude dos efeitos agudo e crônico. Hipotetizou-se que a aptidão aeróbia intermitente seria o correlato fisiológico mais consistente da fadiga do humor, ao passo que a capacidade anaeróbia e o porte corporal teriam papel secundário.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que adota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de utilidade para a caracterização da amostra e ao ajuste alométrico do desempenho no T-CAR.</w:t>
      </w:r>
    </w:p>
    <w:p>
      <w:pPr>
        <w:spacing w:before="160" w:after="40"/>
      </w:pPr>
      <w:r>
        <w:rPr>
          <w:sz w:val="22"/>
        </w:rPr>
        <w:t>Tabela 1 – Inventário dos instrumentos: domínio avaliado, estrutura, amplitude e momento de coleta.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Instrumento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Domínio avaliado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Estrutura e amplitude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Coleta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BRUMS-24 (Escala de Humor de Brunel)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Humor: tensão, depressão, raiva, vigor, fadiga, confusão (+ PTH)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 itens (4 por subescala), 0–4 por item; subescalas 0–16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Baseline (1×) e pré/pós de cada treino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e mental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 percebida (física e mental)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 itens únicos, 0–10 cada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Junto ao diário eletrônico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Epworth (versão de 6 itens)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Sonolência diurna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 itens, 0–18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PSS-14 (Escala de Estresse Percebido)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Estresse percebido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 itens (7 de pontuação invertida), 0–56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Teste de Carminatti (T-CAR)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Aptidão aeróbia intermitente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Teste de campo progressivo e intermitente; pico de velocidade (km/h)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Salto vertical (CMJ)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Potência de membros inferiores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Altura do salto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Capacidade de sprints repetidos (componente anaeróbio)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 sprints; melhor tempo (s) e índice de fadiga %F; menor = melhor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Antropometria e dobras cutâneas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Composição corporal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Massa (kg), estatura (cm),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Monitoramento de carga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Carga interna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Frequência cardíaca, TRIMP e percepção de esforço (PSE)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Sessões de treino</w:t>
            </w:r>
          </w:p>
        </w:tc>
      </w:tr>
    </w:tbl>
    <w:p>
      <w:pPr>
        <w:spacing w:after="0"/>
      </w:pPr>
      <w:r>
        <w:rPr>
          <w:i/>
          <w:sz w:val="17"/>
        </w:rPr>
        <w:t>Autorrelato: BRUMS-24, fadiga física/mental, Epworth e PSS-14. Avaliações físicas: T-CAR, CMJ, sprints repetidos (Baker) e antropometria. PTH = Perturbação Total do Humor; PSE = percepção subjetiva de esforço;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 sintetiza os instrumentos empregados, o domínio de cada um, a sua estrutura e o momento de coleta.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com a escolha daquele de melhor compromisso entre ajuste e parcimônia pelo menor AIC/BIC, além do R² ajustado e do RMSE; para o modelo logístico, comparou-se ainda o preditor na escala bruta contra a logarítmica. Modelou-se ainda a probabilidade de um dia de baixo vigor (tercil inferior) em função do pico de velocidade, com os intervalos de confiança das razões de chances e das áreas sob a curva obtidos por reamostragem (bootstrap, 1000 repetições) de atletas, para acomodar a estrutura de medidas repetidas. Além do ponto de corte único, o pico de velocidade foi estratificado por dois limiares — os tercis de sua distribuição — em três faixas de aptidão, com a comparação da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 o contraste entre as associações do PV bruto e do PV normalizado com a fadiga e o vigor. A capacidade anaeróbia foi avaliada pelo teste de sprints repetidos (Baker), do qual se tomaram o melhor tempo, a soma dos tempos e o índice de fadiga (percentual de decremento); a sua associação com a fadiga e o vigor foi examinada por correlação de Spearman, por correlação parcial (com controle da massa corporal) e por ajuste alométrico, de modo a separar o efeito da capacidade do efeito do porte corporal. Para identificar os moduladores da magnitude dos efeitos, definiu-se o efeito agudo como a variação intrassessão (pós − pré) por atleta-dia e o efeito crônico como a inclinação semanal (taxa por dia) da média diária de cada dimensão; a associação de cada efeito com as características do atleta — aptidão aeróbia intermitente (PV), composição corporal, potência de membros inferiores (salto CMJ), sprints repetidos (Baker), sonolência, estresse e carga interna (TRIMP) — foi quantificada pela correlação de Pearson e pelo coeficiente de determinação (R²), além de modelos de regressão múltipla com coeficientes padronizados (β*); dado o número de testes, aplicou-se a correção de Holm para comparações múltiplas.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2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3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2) e com caracterização sociodemográfica e antropométrica compatível com a de handebolistas de nível competitivo (Tabela 3).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4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4),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5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5: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6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6):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7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7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8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8) foi moderada a boa, com os valores mais baixos na raiva e na confusão — dimensões mais reativas dia a dia.</w:t>
      </w:r>
    </w:p>
    <w:p>
      <w:pPr>
        <w:spacing w:before="160" w:after="40"/>
      </w:pPr>
      <w:r>
        <w:rPr>
          <w:sz w:val="22"/>
        </w:rPr>
        <w:t>Tabela 9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9;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10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10;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11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11. A regressão mostrou que atletas com maior pico de velocidade reportaram menos fadiga física (ρ = -0,51; p = 0,008) e mais vigor (ρ = +0,47; p = 0,017) ao longo da semana (Figura 5).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12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12; Figura 6).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confirma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13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Dois limiares do pico de velocidade do T-CAR (14,4 e 15,1 km/h) que delimitam três faixas de aptidão (esquerda) e a prevalênciade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que definem três faixas de aptidão com valor de decisão direto (Tabela 13; Figura 7).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e oferece à comissão técnica uma referência graduada, e não binária, para individualizar a carga e priorizar a recuperação dos atletas menos aptos.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curv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Curvas logísticas ajustadas: à esquerda, a probabilidade de um dia de fadiga elevada decresce com o pico de velocidade do T-CAR (pontos = proporção observada por faixa, tamanho proporcional ao n); à direita, a probabilidade do perfil barbatana de tubarão cresce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curvas logísticas ajustadas sintetizam, em forma gráfica, os dois modelos de probabilidade discutidos: a queda monotônica da chance de um dia de fadiga elevada à medida que aumenta o pico de velocidade e a elevação da chance do perfil de barbatana de tubarão ao longo dos dias (Figura 8).</w:t>
      </w:r>
    </w:p>
    <w:p>
      <w:pPr>
        <w:spacing w:before="120" w:after="80" w:line="360" w:lineRule="auto"/>
      </w:pPr>
      <w:r>
        <w:rPr>
          <w:b/>
          <w:sz w:val="24"/>
        </w:rPr>
        <w:t>3.8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9).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3.9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o que confirma que os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3.10 Capacidade anaeróbia (RSA) e fadiga: especificidade e ajuste pela massa</w:t>
      </w:r>
    </w:p>
    <w:p>
      <w:pPr>
        <w:spacing w:before="160" w:after="40"/>
      </w:pPr>
      <w:r>
        <w:rPr>
          <w:sz w:val="22"/>
        </w:rPr>
        <w:t>Tabela 16 – Associação entre a capacidade anaeróbia (teste de sprints repetidos, Baker) e a fadiga e o vigor semanais: correlação bruta e parcial (com controle da massa corporal).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Medida do RSA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física (bruto / parcial)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BRUMS (bruto / parcial)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(bruto / parcial)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Melhor tempo (s)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+0,26 / +0,11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+0,30 / +0,18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+0,08 / -0,01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Soma dos 8 (s)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+0,34 / +0,19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+0,34 / +0,22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/ -0,05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fadiga (%F)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+0,26 / +0,33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+0,19 / +0,25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-0,39 / -0,37</w:t>
            </w:r>
          </w:p>
        </w:tc>
      </w:tr>
    </w:tbl>
    <w:p>
      <w:pPr>
        <w:spacing w:after="0"/>
      </w:pPr>
      <w:r>
        <w:rPr>
          <w:i/>
          <w:sz w:val="17"/>
        </w:rPr>
        <w:t>Correlação de Spearman (ρ); parcial = com controle da massa corporal. Melhor tempo, soma e índice de fadiga: menor = melhor. n = 24 atletas. Como contraste, o pico de velocidade aeróbio associou-se à fadiga física (ρ = -0,50; p = 0,013).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sa_especificida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Correlatos da fadiga física semanal: à esquerda, a capacidade anaeróbia (melhor tempo em sprints repetidos) apresenta associação fraca e não significativa; à direita, a aptidão aeróbia (pico de velocidade do T-CAR) apresenta associação moderada e significativa.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capacidade anaeróbia foi avaliada por um teste de sprints repetidos (oito sprints; Baker), do qual se tomaram o melhor tempo, a soma dos tempos e o índice de fadiga (percentual de decremento). Nenhuma das três medidas se associou de forma significativa à fadiga física, à fadiga do BRUMS ou ao vigor (Tabela 16; Figura 10); as correlações foram fracas, no limite da significância apenas para o índice de fadiga com o vigor (ρ = -0,39). A capacidade anaeróbia mostrou-se, ademais, independente da aptidão aeróbia (RSA × PV: ρ = -0,05), o que indica que os dois testes captam capacidades distintas.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normalização pela massa corporal esclarece a natureza dessas associações. Os atletas mais pesados foram mais lentos nos sprints (massa × melhor tempo: ρ = +0,50) e tenderam a relatar mais fadiga (massa × fadiga física: ρ = +0,34); ao controlar a massa, a fraca associação entre o melhor tempo e a fadiga física praticamente desaparece (bruto ρ = +0,26 → parcial ρ = +0,11), e o ajuste alométrico conduz à mesma conclusão (ρ ajustado = +0,09). Em contraste, a associação entre o pico de velocidade aeróbio e a fadiga física — significativa (ρ = -0,50) — resiste ao ajuste. O padrão revela especificidade fisiológica: no acúmulo de pré-temporada, a fadiga do humor é rastreada pela aptidão aeróbia, e não pela capacidade anaeróbia de sprints repetidos nem pelo porte corporal.</w:t>
      </w:r>
    </w:p>
    <w:p>
      <w:pPr>
        <w:spacing w:before="120" w:after="80" w:line="360" w:lineRule="auto"/>
      </w:pPr>
      <w:r>
        <w:rPr>
          <w:b/>
          <w:sz w:val="24"/>
        </w:rPr>
        <w:t>3.11 Moduladores da magnitude dos efeitos agudo e crônico</w:t>
      </w:r>
    </w:p>
    <w:p>
      <w:pPr>
        <w:spacing w:before="160" w:after="40"/>
      </w:pPr>
      <w:r>
        <w:rPr>
          <w:sz w:val="22"/>
        </w:rPr>
        <w:t>Tabela 17 – Moduladores da magnitude do efeito crônico (inclinação semanal): correlação (r) e coeficiente de determinação (R²) entre cada característica do atleta e a taxa de variação do vigor e da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Moderador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— r (R²)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— r (R²)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(PV T-CAR)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 (0,02)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-0,12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% de gordura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 (0,02)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-0,30 (0,09)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(CMJ)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-0,43 (0,18)*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(0,01)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Sonolência (Epworth)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+0,42 (0,17)*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Estresse (PSS-14)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+0,33 (0,11)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interna (TRIMP)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</w:tbl>
    <w:p>
      <w:pPr>
        <w:spacing w:after="0"/>
      </w:pPr>
      <w:r>
        <w:rPr>
          <w:i/>
          <w:sz w:val="17"/>
        </w:rPr>
        <w:t>r = correlação de Pearson; R² = coeficiente de determinação (variância explicada); * p &lt; 0,05 sem correção. Nenhuma associação sobrevive à correção de Holm para 48 testes. CMJ = salto vertical; Baker = melhor tempo em sprints repetidos (menor = melhor); TRIMP = carga interna.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dor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Modulação da taxa semanal pelo perfil do atleta: à esquerda, o coeficiente de determinação (R²) de cada característica sobre a taxa do vigor (verde) e da fadiga (laranja) — a fadiga é praticamente não modulada; à direita, a taxa de queda do vigor decresce com a potência de membros inferiores (salto CMJ).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Uma questão aplicada relevante é saber quais características do atleta modulam a intensidade da resposta — e em que medida. A magnitude do efeito agudo (variação pré → pós) revelou-se estável e independente do perfil individual: a queda média do vigor (-0,92 ponto por sessão), a elevação da fadiga (+1,42) e a da PTH (+3,04) não se acentuaram ao longo da semana (tendência por dia: p ≥ 0,24) nem se vincularam de modo consistente à aptidão, à composição corporal, à potência, ao sono ou à carga interna — todos os coeficientes de determinação foram baixos (R² &lt; 0,09). O choque afetivo intrassessão comporta-se, portanto, como uma resposta estereotipada, compartilhada pelo grupo.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efeito crônico (inclinação semanal) exibiu modulação apenas parcial, restrita ao vigor (Tabela 17; Figura 11). A taxa de acúmulo de fadiga foi praticamente idêntica entre os atletas — nenhum moderador explicou fração relevante de sua variância (R² ≤ 0,02) —, ao passo que a taxa de queda do vigor associou-se à potência de membros inferiores (salto CMJ: r = -0,43; R² = 0,18) e, em menor grau, à sonolência: os atletas mais explosivos perderam vigor mais depressa. Um modelo de regressão múltipla com aptidão e potência explicou cerca de 23% da variância da taxa do vigor (R² = 0,23; R² ajustado = 0,14), com o maior peso padronizado atribuído à potência (β* = -0,45). Impõe-se, porém, cautela: entre os 48 testes de moderação, nenhuma associação resistiu à correção de Holm para comparações múltiplas, de sorte que esses vínculos permanecem exploratórios. Predomina, assim, uma resposta de humor amplamente independente das características individuais mensuradas — sobretudo no eixo da fadiga —, o que reforça o caráter geral e esperado da reação à carga da pré-temporada.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examinou os correlatos fisiológicos e de bem-estar da resposta de humor de handebolistas de elite ao longo da última semana de pré-temporada. Como pano de fundo, a deterioração do humor concentrou-se no eixo energia–fadiga: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 Tal seletividade replica um padrão já descrito noutras modalidades: em nadadores acompanhados por 24 semanas, o vigor e a fadiga acompanharam o volume de treino (r = −0,54 e r = +0,53), ao passo que tensão, depressão e confusão permaneceram inertes (PIERCE, 2002) — o que sustenta centrar a leitura fisiológica subsequente no par vigor–fadiga.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a deterioração do eixo energia–fadiga observada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elevação da sonolência ao término da semana, sem alteração do estresse percebido, respalda essa leitura: a perturbação nasceu da carga física e da restauração incompleta entre as sessões, não de um estressor psicossocial concomitante. O acoplamento crescente entre o afeto negativo e a fadiga, do primeiro ao último dia, acompanha essa transição de um estado diferenciado para um estado integrado de estresse, no qual as respostas afetivas convergem sob um substrato central comum — leitura que o próprio delineamento sustenta, uma vez que os marcadores medidos (humor, sono e estresse) apontam para a mesma origem na carga de treino. Essa via afetiva, contudo, guarda autonomia em relação aos índices periféricos: sob treino intensificado, a perturbação do humor pode subsistir mesmo quando marcadores bioquímicos de fadiga já regrediram (OSTAPIUK-KAROLCZUK et al., 2025), assincronia que credencia o eixo energia–fadiga como sentinela complementar — e não redundante — em relação à leitura fisiológica.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dos moduladores refina esse entendimento e traz uma mensagem de utilidade prática. A magnitude tanto do choque agudo quanto da deriva crônica mostrou-se, em larga medida, independente do perfil do atleta: nenhum dos preditores — aptidão, composição corporal, potência, sono, estresse ou carga interna — explicou parcela expressiva da variância, e nenhuma associação resistiu à correção para comparações múltiplas. A taxa de acúmulo de fadiga, em especial, revelou-se homogênea entre os atletas, o que sugere uma resposta obrigatória e comum à carga da pré-temporada — coerente com a leitura de um sobre-esforço funcional que atinge o grupo de maneira relativamente uniforme. A única modulação digna de nota, ainda que exploratória, recaiu sobre a taxa de queda do vigor, associada à potência de membros inferiores: os atletas mais explosivos perderam energia mais depressa, padrão compatível com a hipótese de que perfis de maior demanda neuromuscular acumulam fadiga central e periférica com maior rapidez sob um bloco de acumulação aeróbia. Do ponto de vista aplicado, a baixa modulação reforça que a vigilância do humor deve ser universal na equipe — e não reservada a subgrupos supostamente mais vulneráveis —, embora o eixo do vigor mereça atenção adicional nos atletas de perfil mais potente.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 que a articulam à aptidão aeróbia intermitente em uma modalidade coletiva de invasão.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pois acelera a recuperação entre as ações e retarda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o que evidencia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contraposição com a capacidade anaeróbia delimita a especificidade dessa relação. O teste de sprints repetidos (Baker) — um marcador da capacidade de repetir esforços máximos de curta duração — não se associou de forma significativa à fadiga do humor em nenhuma de suas medidas, e a fraca associação bruta entre o melhor tempo e a fadiga física desapareceu ao controlar a massa corporal, o que a atribui ao porte do atleta, e não à capacidade anaeróbia em si. Como a capacidade anaeróbia se mostrou independente da aptidão aeróbia, os dois testes captam qualidades físicas distintas; e é a aptidão aeróbia — não a anaeróbia — que rastreia a fadiga afetiva do acúmulo de pré-temporada. Esse contraste é coerente com a natureza predominantemente aeróbia da carga de uma semana de acumulação e com a recomendação de sistemas de monitoramento multidomínio, que combinam marcadores neuromusculares, cardioautonômicos e de autorrelato de humor, sono e estresse (NAUGHTON et al., 2023; TAVARES et al., 2017). A pertinência dessa moldura no próprio handebol de elite encontra respaldo em investigação de larga escala com centenas de jogadores de alto nível, na qual o estado de humor, a percepção de estresse e marcadores endócrinos foram articulados num arcabouço multidomínio de acompanhamento (RATZ-SULYOK et al., 2026) — quadro em que o presente contraste entre aptidão aeróbia e anaeróbia especifica qual componente físico efetivamente rastreia a resposta afetiva. Convém, ainda, a cautela metodológica de que o índice de fadiga do teste de sprints repetidos, por derivar de uma pequena queda de desempenho, tem confiabilidade limitada e deve ser lido com reservas (OLIVER, 2007; GLAISTER et al., 2008).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o que revela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com preferência pelo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carga: elevou-se rumo ao último dia e associou-se, entre os atletas, a mais fadiga e a um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a deterioração do humor concentrou-se no eixo energia–fadiga, e a sua magnitude associou-se de forma seletiva às capacidades físicas. Entre os parâmetros examinados, a aptidão aeróbia intermitente (pico de velocidade do T-CAR) foi o correlato fisiológico genuíno: os atletas mais aptos relataram mais vigor e menos fadiga física, com um limiar de aproximadamente 14,9 km/h e dois cortes que delimitaram faixas de risco úteis à individualização da carga. A capacidade anaeróbia de sprints repetidos, ao contrário, não explicou a fadiga do humor — e o seu vínculo aparente decorria do porte corporal —, o que revela especificidade aeróbia. A sonolência acrescentou uma leitura de recuperação, ao acompanhar a fadiga e a perturbação do humor, enquanto o estresse percebido, estável, delimitou a origem da resposta na carga de treino. A magnitude dos efeitos foi, porém, pouco modulada pelo perfil individual, o que sugere uma resposta amplamente comum ao grupo. Recomenda-se, portanto, um monitoramento multidomínio — que combine o humor, a aptidão aeróbia e marcadores de recuperação — centrado no eixo energia–fadiga.</w:t>
      </w:r>
    </w:p>
    <w:p>
      <w:pPr>
        <w:spacing w:before="200" w:after="80" w:line="360" w:lineRule="auto"/>
      </w:pPr>
      <w:r>
        <w:rPr>
          <w:b/>
          <w:sz w:val="24"/>
        </w:rPr>
        <w:t>Contribuições dos autores</w:t>
      </w:r>
    </w:p>
    <w:p>
      <w:pPr>
        <w:spacing w:line="360" w:lineRule="auto" w:after="120"/>
        <w:jc w:val="both"/>
      </w:pPr>
      <w:r>
        <w:rPr>
          <w:b w:val="0"/>
          <w:sz w:val="24"/>
        </w:rPr>
        <w:t>[Autor 1] e [Autor 2] conceberam o estudo e o delineamento. [Autor 1] conduziu a coleta de dados. [Autor 1] e [Autor 3] realizaram as análises estatísticas. [Autor 1] redigiu a primeira versão do manuscrito. Todos os autores revisaram criticamente o texto e aprovaram a versão final.</w:t>
      </w:r>
    </w:p>
    <w:p>
      <w:pPr>
        <w:spacing w:before="120" w:after="80" w:line="360" w:lineRule="auto"/>
      </w:pPr>
      <w:r>
        <w:rPr>
          <w:b/>
          <w:sz w:val="24"/>
        </w:rPr>
        <w:t>Financiamento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[Esta pesquisa não recebeu financiamento externo. / Esta pesquisa foi financiada por [agência], processo nº [placeholder].]</w:t>
      </w:r>
    </w:p>
    <w:p>
      <w:pPr>
        <w:spacing w:before="120" w:after="80" w:line="360" w:lineRule="auto"/>
      </w:pPr>
      <w:r>
        <w:rPr>
          <w:b/>
          <w:sz w:val="24"/>
        </w:rPr>
        <w:t>Aprovação ética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 estudo foi conduzido de acordo com a Declaração de Helsinque e aprovado pelo Comitê de Ética em Pesquisa de [instituição] (parecer nº / CAAE [placeholder]).</w:t>
      </w:r>
    </w:p>
    <w:p>
      <w:pPr>
        <w:spacing w:before="120" w:after="80" w:line="360" w:lineRule="auto"/>
      </w:pPr>
      <w:r>
        <w:rPr>
          <w:b/>
          <w:sz w:val="24"/>
        </w:rPr>
        <w:t>Consentimento informado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Todos os participantes assinaram o termo de consentimento livre e esclarecido antes da coleta de dados.</w:t>
      </w:r>
    </w:p>
    <w:p>
      <w:pPr>
        <w:spacing w:before="120" w:after="80" w:line="360" w:lineRule="auto"/>
      </w:pPr>
      <w:r>
        <w:rPr>
          <w:b/>
          <w:sz w:val="24"/>
        </w:rPr>
        <w:t>Disponibilidade dos dados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Os dados que sustentam os achados deste estudo, em forma anonimizada, e os scripts de análise estão disponíveis mediante solicitação razoável ao autor correspondente.</w:t>
      </w:r>
    </w:p>
    <w:p>
      <w:pPr>
        <w:spacing w:before="120" w:after="80" w:line="360" w:lineRule="auto"/>
      </w:pPr>
      <w:r>
        <w:rPr>
          <w:b/>
          <w:sz w:val="24"/>
        </w:rPr>
        <w:t>Conflitos de interesse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Os autores declaram não haver conflitos de interesse.</w:t>
      </w:r>
    </w:p>
    <w:p>
      <w:pPr>
        <w:spacing w:before="120" w:after="80" w:line="360" w:lineRule="auto"/>
      </w:pPr>
      <w:r>
        <w:rPr>
          <w:b/>
          <w:sz w:val="24"/>
        </w:rPr>
        <w:t>Artigo companheiro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Este manuscrito integra um par de estudos-companheiros que compartilham a mesma amostra e o mesmo microciclo, com desfechos primários distintos. O artigo companheiro — sobre a dinâmica do humor e a modelagem das trajetórias — foi submetido a outro periódico; ambos se citam mutuamente.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GLAISTER, M. et al. The reliability and validity of fatigue measures during multiple-sprint work: an issue revisited. Journal of Strength and Conditioning Research, v. 22, n. 5, p. 1597–1601, 2008. DOI: 10.1519/JSC.0b013e318181ab80.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NAUGHTON, M. et al. Defining and quantifying fatigue in the rugby codes. PLoS ONE, v. 18, n. 3, e0282390, 2023. DOI: 10.1371/journal.pone.0282390.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OLIVER, J. L. Is a fatigue index a worthwhile measure of repeated sprint ability? Journal of Science and Medicine in Sport, v. 12, n. 1, p. 20–23, 2007. DOI: 10.1016/j.jsams.2007.10.010.</w:t>
      </w:r>
    </w:p>
    <w:p>
      <w:pPr>
        <w:spacing w:line="360" w:lineRule="auto" w:after="120"/>
        <w:jc w:val="both"/>
      </w:pPr>
      <w:r>
        <w:rPr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PIERCE, E. F. Relationship between training volume and mood states in competitive swimmers during a 24-week season. Perceptual and Motor Skills, v. 94, n. 3, p. 1009–1012, 2002. DOI: 10.2466/pms.2002.94.3.1009.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TAVARES, F. et al. Wellness, muscle soreness and neuromuscular performance during a training week in volleyball athletes. Journal of Sports Medicine and Physical Fitness, v. 58, n. 12, p. 1852–1858, 2017. DOI: 10.23736/S0022-4707.17.07818-5.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