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análises foram conduzidas em Python (pacotes NumPy, SciPy, pandas, statsmodels e Plotly), com nível de significância de 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0,012; dias de HIIT vs. demais dias, χ²(21) = 105,8, p &lt; 0,001).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 e entre os dias de HIIT e os demais (pseudo-F = 2,71; R² = 0,007; p = 0,007). Os tamanhos de efeito, embora pequenos em fração de variância (0,7 a 1,0%), são direcionais e coerentes com a leitura de sinal/ruído: a mudança é real, porém ocupa parcela reduzida de uma variância total dominada pelo efeito de piso das dimensões negativas. O teste PERMDISP indicou que, no contraste pré vs. pós, as dispersões multivariadas são homogêneas (F = 0,80; p = 0,342), de modo que a diferença reflete deslocamento do centroide, e não heterogeneidade de variância; já nos dias de HIIT observou-se, além do deslocamento, aumento significativo da dispersão multivariada (PERMDISP F = 9,27; p = 0,003), indicando resposta mais heterogênea entre atletas ao estímulo intenso.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do dia (HIIT vs. não-HIIT)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+ maior dispersão nos dias de HIIT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Médias marginais diárias do vigor, da fadiga e da fadiga física,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