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Sonolência diurna e estresse percebido ao longo de um microciclo pré-competitivo</w:t>
      </w:r>
    </w:p>
    <w:p>
      <w:pPr>
        <w:spacing w:before="200" w:after="80"/>
      </w:pPr>
      <w:r>
        <w:rPr>
          <w:rFonts w:ascii="Times New Roman" w:hAnsi="Times New Roman"/>
          <w:b/>
          <w:sz w:val="26"/>
        </w:rPr>
        <w:t>Métodos (resumo)</w:t>
      </w:r>
    </w:p>
    <w:p>
      <w:pPr>
        <w:spacing w:after="160" w:line="360" w:lineRule="auto"/>
        <w:jc w:val="both"/>
      </w:pPr>
      <w:r>
        <w:rPr>
          <w:rFonts w:ascii="Times New Roman" w:hAnsi="Times New Roman"/>
          <w:sz w:val="24"/>
        </w:rPr>
        <w:t>Em cada envio do questionário diário (27 atletas; 456 observações; 21–27/04/2024), além do BRUMS foram registrados a sonolência diurna pela Escala de Sonolência de Epworth (0–24) e o estresse percebido pela Perceived Stress Scale (PSS). Ambos os instrumentos tiveram 100% de preenchimento. As variáveis foram resumidas por atleta e por dia; a mudança do primeiro ao sétimo dia foi testada por Wilcoxon pareado (com tamanho de efeito dz) e as associações com o humor por correlação de Spearman no nível atleta-dia.</w:t>
      </w:r>
    </w:p>
    <w:p>
      <w:pPr>
        <w:spacing w:before="200" w:after="80"/>
      </w:pPr>
      <w:r>
        <w:rPr>
          <w:rFonts w:ascii="Times New Roman" w:hAnsi="Times New Roman"/>
          <w:b/>
          <w:sz w:val="26"/>
        </w:rPr>
        <w:t>Resultados</w:t>
      </w:r>
    </w:p>
    <w:p>
      <w:pPr>
        <w:spacing w:after="200"/>
      </w:pPr>
      <w:r>
        <w:rPr>
          <w:rFonts w:ascii="Times New Roman" w:hAnsi="Times New Roman"/>
          <w:i/>
          <w:sz w:val="20"/>
        </w:rPr>
        <w:t>Tabela. Sonolência (Epworth) e estresse (PSS): primeiro versus último dia do microciclo.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Variável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Dia 1 (M)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Dia 7 (M)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dz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p (D1→D7)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Sonolência (Epworth)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8,8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11,5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+0,58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0,019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Estresse (PSS)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22,7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21,6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-0,19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0,414</w:t>
            </w:r>
          </w:p>
        </w:tc>
      </w:tr>
    </w:tbl>
    <w:p>
      <w:pPr>
        <w:spacing w:after="200"/>
      </w:pPr>
      <w:r>
        <w:rPr>
          <w:rFonts w:ascii="Times New Roman" w:hAnsi="Times New Roman"/>
          <w:i/>
          <w:sz w:val="20"/>
        </w:rPr>
        <w:t>M: média. dz: tamanho de efeito intraindividual (Wilcoxon pareado).</w:t>
      </w:r>
    </w:p>
    <w:p>
      <w:pPr>
        <w:spacing w:after="160" w:line="360" w:lineRule="auto"/>
        <w:jc w:val="both"/>
      </w:pPr>
      <w:r>
        <w:rPr>
          <w:rFonts w:ascii="Times New Roman" w:hAnsi="Times New Roman"/>
          <w:sz w:val="24"/>
        </w:rPr>
        <w:t>A sonolência diurna aumentou de forma significativa ao longo da semana (Epworth: 8,8 no primeiro dia para 11,5 no sétimo; dz = +0,58; p = 0,019), com valor máximo no dia da última sessão de HIIT. O estresse percebido, em contraste, permaneceu estável (PSS: 22,7 para 21,6; dz = −0,19; p = 0,414), sendo inclusive mais baixo nos dias de jogo amistoso.</w:t>
      </w:r>
    </w:p>
    <w:p>
      <w:pPr>
        <w:spacing w:after="160" w:line="360" w:lineRule="auto"/>
        <w:jc w:val="both"/>
      </w:pPr>
      <w:r>
        <w:rPr>
          <w:rFonts w:ascii="Times New Roman" w:hAnsi="Times New Roman"/>
          <w:sz w:val="24"/>
        </w:rPr>
        <w:t>No nível atleta-dia, a sonolência associou-se positivamente à fadiga (ρ = +0,34; p &lt; 0,001) e à perturbação total do humor (ρ = +0,37; p &lt; 0,001) e negativamente ao vigor (ρ = −0,23; p = 0,002). O estresse percebido apresentou associação fraca com a perturbação total do humor (ρ = +0,24; p = 0,002) e não se relacionou com a fadiga (ρ = −0,04). A Figura ilustra as duas trajetórias e as correlações.</w:t>
      </w:r>
    </w:p>
    <w:p>
      <w:pPr>
        <w:spacing w:after="200"/>
      </w:pPr>
      <w:r>
        <w:rPr>
          <w:rFonts w:ascii="Times New Roman" w:hAnsi="Times New Roman"/>
          <w:i/>
          <w:sz w:val="20"/>
        </w:rPr>
        <w:t>Figura. (A) Sonolência ao longo da semana; (B) estresse ao longo da semana; (C) correlações com o humor. Faixas alaranjadas = dias de HIIT; azuis = jogos amistosos.</w:t>
      </w:r>
    </w:p>
    <w:p>
      <w:pPr>
        <w:spacing w:before="200" w:after="80"/>
      </w:pPr>
      <w:r>
        <w:rPr>
          <w:rFonts w:ascii="Times New Roman" w:hAnsi="Times New Roman"/>
          <w:b/>
          <w:sz w:val="26"/>
        </w:rPr>
        <w:t>Discussão</w:t>
      </w:r>
    </w:p>
    <w:p>
      <w:pPr>
        <w:spacing w:after="160" w:line="360" w:lineRule="auto"/>
        <w:jc w:val="both"/>
      </w:pPr>
      <w:r>
        <w:rPr>
          <w:rFonts w:ascii="Times New Roman" w:hAnsi="Times New Roman"/>
          <w:sz w:val="24"/>
        </w:rPr>
        <w:t>A sonolência diurna comportou-se como um marcador de recuperação: acompanhou o eixo da fadiga e cresceu à medida que a carga se acumulou no microciclo, atingindo o pico no dia da sessão de HIIT mais exigente. Esse padrão é coerente com a maior necessidade de sono associada ao estresse fisiológico do treinamento e reforça, de forma independente, a interpretação de que o desgaste observado é sobretudo energético.</w:t>
      </w:r>
    </w:p>
    <w:p>
      <w:pPr>
        <w:spacing w:after="160" w:line="360" w:lineRule="auto"/>
        <w:jc w:val="both"/>
      </w:pPr>
      <w:r>
        <w:rPr>
          <w:rFonts w:ascii="Times New Roman" w:hAnsi="Times New Roman"/>
          <w:sz w:val="24"/>
        </w:rPr>
        <w:t>O estresse percebido, por outro lado, manteve-se estável e desacoplado da fadiga, tendo sido menor justamente nos dias de jogo. Em conjunto, os dois instrumentos indicam que os atletas ficaram progressivamente mais sonolentos e fadigados, mas não mais estressados — um perfil compatível com sobrecarga funcional, e não com um quadro de distresse psicológico. A dissociação entre um eixo energético (fadiga, sonolência, vigor), que responde à quantidade de carga, e um eixo de estresse/afeto negativo, que permanece controlado, sugere que o monitoramento do bem-estar do atleta se beneficia de acompanhar as duas dimensões separadamente.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