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452 respostas ao instrumento, e caracteriza cada subescala nesta população. No dia de repouso o perfil iceberg predominou, com 38,1% das observações, e os três perfis de risco somaram 11,9%. Na véspera da competição o iceberg caiu para 21,7%, a barbatana de tubarão subiu de 0,0% para 26,1% e a faixa de risco alcançou 34,8% das observações. A classificação foi calculada nos sete dias sobre as 452 observações da base, e as curvas do iceberg e da barbatana de tubarão cruzam-se no dia 6,8. Pelo critério de Morgan, aplicado em paralelo sobre escores brutos, a proporção em perfil iceberg caiu de 73,8% para 34,8% ao longo da semana, e a análise da derivada da série mostra que a perda não é gradual: duas quedas ultrapassam o piso de ruído de 10,1 pontos percentuais, a primeira no dia seguinte à sessão inicial de alta intensidade e a segunda na véspera da competição, com um platô entre elas. A decomposição das séries por reamostragem separa duas dinâmicas: a barbatana de tubarão sobe +3,38 pontos percentuais por dia, com intervalo que não contém o zero e R² de 0,77, ao passo que o perfil iceberg tem R² de 0,03 e cai por degrau. Na comparação pareada entre as duas pontas, seis das nove variáveis mudam com intervalo que exclui o zero, com o maior efeito na fadiga física, de dz +1,71; entre os perfis, só a barbatana de tubarão o faz. Quatro das seis subescalas apresentaram efeito piso entre 49,8% e 80,3%,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ocorreu entre 21 e 27 de abril de 2024, por formulário eletrônico, e produziu 452 respostas analisáveis de 27 atletas. O dia 1, domingo de repouso, foi tomado como linha de base: as 42 respostas daquele dia foram todas dadas no período da noite, sem que tivesse havido esforço físico organizado nas horas anteriores. Do dia 2 ao dia 7 a coleta acompanhou a rotina de treino, com respostas antes da primeira sessão, tomadas como medida pré-sessão, entre sessões, e ao fim do dia, tomadas como medida pós-sessão,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 densidade da coleta não foi uniforme, e isso é declarado porque afeta a precisão de cada dia. O número de respostas por dia variou de 42 a 94, e o de atletas de 20 a 27, com média de 1,6 resposta por atleta no dia de linha de base e entre 2,2 e 3,6 nos demais dias. O dia 7 não teve coleta noturna, porque a equipe se deslocou para a competição. Todas as estimativas de média diária agregam primeiro por atleta e só depois por dia, justamente para que essa variação de densidade não pese na média, e o denominador de cada análise está declarado na tabela correspondente.</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 e por isso é calculável em qualquer amostra.</w:t>
      </w:r>
    </w:p>
    <w:p>
      <w:pPr>
        <w:spacing w:line="240" w:lineRule="auto" w:after="80"/>
        <w:ind w:firstLine="709"/>
        <w:jc w:val="both"/>
      </w:pPr>
      <w:r>
        <w:rPr>
          <w:rFonts w:ascii="Times New Roman" w:hAnsi="Times New Roman"/>
          <w:b w:val="0"/>
          <w:i w:val="0"/>
          <w:color w:val="000000"/>
          <w:sz w:val="24"/>
        </w:rPr>
        <w:t>A segunda aplica o critério dos seis perfis, em três passos declarados. No primeiro, os escores das seis subescalas foram convertidos em escore T de média 50 e desvio-padrão 10 contra a média e o desvio-padrão das 452 observações desta amostra. A padronização é interna porque não existem normas de escore T para handebol, e a consequência está declarada na seção 5.8: estes escores T não são comparáveis aos de estudos que padronizam contra normas de população.</w:t>
      </w:r>
    </w:p>
    <w:p>
      <w:pPr>
        <w:spacing w:line="240" w:lineRule="auto" w:after="80"/>
        <w:ind w:firstLine="709"/>
        <w:jc w:val="both"/>
      </w:pPr>
      <w:r>
        <w:rPr>
          <w:rFonts w:ascii="Times New Roman" w:hAnsi="Times New Roman"/>
          <w:b w:val="0"/>
          <w:i w:val="0"/>
          <w:color w:val="000000"/>
          <w:sz w:val="24"/>
        </w:rPr>
        <w:t>No segundo passo, cada observação foi atribuída ao perfil cujo centroide publicado está a menor distância euclidiana quadrática no espaço das seis subescalas. Os centroides são os da Amostra A de Parsons-Smith, Terry e Machin (2017), com 2364 respondentes, reproduzidos na Tabela 8 daquele artigo, e a correspondência entre número de agrupamento e nome de perfil vem da matriz de classificação da Tabela 7 do mesmo artigo, que é diagonal. Nenhum agrupamento foi derivado desta amostra: o tamanho dela não comporta a derivação, e o propósito de usar os seis perfis é justamente falar a linguagem já estabelecida na literatura.</w:t>
      </w:r>
    </w:p>
    <w:p>
      <w:pPr>
        <w:spacing w:line="240" w:lineRule="auto" w:after="80"/>
        <w:ind w:firstLine="709"/>
        <w:jc w:val="both"/>
      </w:pPr>
      <w:r>
        <w:rPr>
          <w:rFonts w:ascii="Times New Roman" w:hAnsi="Times New Roman"/>
          <w:b w:val="0"/>
          <w:i w:val="0"/>
          <w:color w:val="000000"/>
          <w:sz w:val="24"/>
        </w:rPr>
        <w:t>No terceiro passo, a solução foi submetida a análise de sensibilidade por k-médias semeada, que é o procedimento das amostras grandes (Rohlfs, Noce e Wilke, 2024, com 898 atletas): os centroides publicados entram como sementes e o algoritmo itera até convergir. Ele convergiu, com concordância de 81,6% em relação à atribuição por centroide publicado, mas deslocou o centroide do perfil superfície em 15,2 pontos T e o do Everest invertido em 20,5, porque esta amostra tem poucos casos extremos para sustentá-los. Centroides deslocados nessa magnitude deixam de significar o que a literatura definiu, e o rótulo perde a comparabilidade que é a razão de usar os seis perfis. Adotou-se, por isso, a atribuição ao centroide publicado, e a k-médias semeada fica registrada como sensibilidade.</w:t>
      </w:r>
    </w:p>
    <w:p>
      <w:pPr>
        <w:spacing w:line="240" w:lineRule="auto" w:after="80"/>
        <w:ind w:firstLine="709"/>
        <w:jc w:val="both"/>
      </w:pPr>
      <w:r>
        <w:rPr>
          <w:rFonts w:ascii="Times New Roman" w:hAnsi="Times New Roman"/>
          <w:b w:val="0"/>
          <w:i w:val="0"/>
          <w:color w:val="000000"/>
          <w:sz w:val="24"/>
        </w:rPr>
        <w:t>Registra-se, por transparência, o histórico desta classificação. Duas análises anteriores do mesmo conjunto de dados chegaram a distribuições distintas: uma padronizou os escores dentro da amostra e classificou por proximidade a centroide sem declarar quais centroides usou, e outra aplicou uma regra de forma sobre a posição relativa das subescalas em relação à linha de 50. As três séries estão comparadas em AUDITORIA_PERFIS_HUMOR e apontam na mesma direção; o que varia entre elas é a magnitude. A série aqui adotada é a única calculada a partir da base bruta por procedimento inteiramente declarado, e a rotina que a produz está versionada junto com os dados anonimizados.</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o perfil do grupo em escores T; a decomposição das séries entre tendência e desvio, com a incerteza de cada parte;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10,1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Perfil do grupo em escores T</w:t>
      </w:r>
    </w:p>
    <w:p>
      <w:pPr>
        <w:spacing w:line="240" w:lineRule="auto" w:after="80"/>
        <w:ind w:firstLine="709"/>
        <w:jc w:val="both"/>
      </w:pPr>
      <w:r>
        <w:rPr>
          <w:rFonts w:ascii="Times New Roman" w:hAnsi="Times New Roman"/>
          <w:b w:val="0"/>
          <w:i w:val="0"/>
          <w:color w:val="000000"/>
          <w:sz w:val="24"/>
        </w:rPr>
        <w:t>A classificação nos seis perfis é feita observação a observação, e por isso a prevalência diária deles exige a base por atleta e por dia. Para os sete dias existe a média diária de cada subescala, e dela se obtém uma leitura complementar: a forma que o perfil do atleta médio assume em cada dia. As duas análises respondem perguntas diferentes e não se substituem, e o texto declara isso em toda ocorrência, porque a média do grupo pode ter forma de iceberg com metade do elenco fora dele.</w:t>
      </w:r>
    </w:p>
    <w:p>
      <w:pPr>
        <w:spacing w:line="240" w:lineRule="auto" w:after="80"/>
        <w:ind w:firstLine="709"/>
        <w:jc w:val="both"/>
      </w:pPr>
      <w:r>
        <w:rPr>
          <w:rFonts w:ascii="Times New Roman" w:hAnsi="Times New Roman"/>
          <w:b w:val="0"/>
          <w:i w:val="0"/>
          <w:color w:val="000000"/>
          <w:sz w:val="24"/>
        </w:rPr>
        <w:t>Cada média diária foi convertida em escore T de média 50 e desvio-padrão 10 contra a média e o desvio-padrão de toda a amostra, que é o mesmo procedimento usado pelo documento de origem para classificar o dia 1 e o dia 7. A padronização é interna, e os escores T daqui não são comparáveis aos de estudos que padronizam contra normas populacionais; foi a mistura desses dois referenciais que produziu a divergência entre séries de classificação registrada na seção 4.9. Como o desvio-padrão do denominador reúne a variância entre atletas e a variância entre dias, e a primeira é maior, a média de um dia se afasta pouco de 50 mesmo quando a mudança na escala bruta é grande: os escores T descrevem a posição do dia dentro da semana, e não a intensidade do estado.</w:t>
      </w:r>
    </w:p>
    <w:p>
      <w:pPr>
        <w:spacing w:line="240" w:lineRule="auto" w:after="80"/>
        <w:ind w:firstLine="709"/>
        <w:jc w:val="both"/>
      </w:pPr>
      <w:r>
        <w:rPr>
          <w:rFonts w:ascii="Times New Roman" w:hAnsi="Times New Roman"/>
          <w:b w:val="0"/>
          <w:i w:val="0"/>
          <w:color w:val="000000"/>
          <w:sz w:val="24"/>
        </w:rPr>
        <w:t>Dois índices resumem cada perfil diário. A amplitude é a distância entre a subescala mais alta e a mais baixa do dia, e mede o quanto o perfil tem forma, sem informar a direção dela: um perfil achatado tem amplitude próxima de zero, e o iceberg e o seu inverso têm amplitude alta com sinais opostos. O eixo energético é a diferença entre vigor e fadiga em unidades T, e informa a direção. O limiar de forma foi fixado no dobro do erro-padrão da média diária, que em unidades de escore T vale exatamente 10 dividido pela raiz do n daquele dia e não depende da subescala, porque a conversão em T já divide pelo desvio-padrão da amostra.</w:t>
      </w:r>
    </w:p>
    <w:p>
      <w:pPr>
        <w:pStyle w:val="Heading3"/>
      </w:pPr>
      <w:r>
        <w:t>3.8.9 Decomposição das séries, incerteza e tendência</w:t>
      </w:r>
    </w:p>
    <w:p>
      <w:pPr>
        <w:spacing w:line="240" w:lineRule="auto" w:after="80"/>
        <w:ind w:firstLine="709"/>
        <w:jc w:val="both"/>
      </w:pPr>
      <w:r>
        <w:rPr>
          <w:rFonts w:ascii="Times New Roman" w:hAnsi="Times New Roman"/>
          <w:b w:val="0"/>
          <w:i w:val="0"/>
          <w:color w:val="000000"/>
          <w:sz w:val="24"/>
        </w:rPr>
        <w:t>Cada série diária, de variável ou de perfil, recebeu três leituras encadeadas: a banda de incerteza em torno de cada ponto, a tendência linear sobre o dia, e a decomposição entre o que a reta explica e o que ela deixa de fora.</w:t>
      </w:r>
    </w:p>
    <w:p>
      <w:pPr>
        <w:spacing w:line="240" w:lineRule="auto" w:after="80"/>
        <w:ind w:firstLine="709"/>
        <w:jc w:val="both"/>
      </w:pPr>
      <w:r>
        <w:rPr>
          <w:rFonts w:ascii="Times New Roman" w:hAnsi="Times New Roman"/>
          <w:b w:val="0"/>
          <w:i w:val="0"/>
          <w:color w:val="000000"/>
          <w:sz w:val="24"/>
        </w:rPr>
        <w:t>A incerteza vem de reamostragem, e a unidade reamostrada é o atleta. Sorteia-se, com reposição, um conjunto de atletas do mesmo tamanho do elenco, e cada atleta sorteado entra com todas as observações dele; a série é então recalculada sobre esse conjunto. O procedimento repete-se 10 mil vezes, com semente fixa e declarada no código, e a banda de 95% é o intervalo entre os percentis 2,5 e 97,5 das séries reamostradas. Reamostrar observações soltas, em vez de atletas, trataria como independentes respostas do mesmo participante e produziria banda estreita demais. A escolha da reamostragem em lugar de distribuição tabelada decorre do tamanho da amostra, da assimetria das distribuições e do efeito piso em quatro das seis subescalas, que violam os pressupostos das fórmulas usuais.</w:t>
      </w:r>
    </w:p>
    <w:p>
      <w:pPr>
        <w:spacing w:line="240" w:lineRule="auto" w:after="80"/>
        <w:ind w:firstLine="709"/>
        <w:jc w:val="both"/>
      </w:pPr>
      <w:r>
        <w:rPr>
          <w:rFonts w:ascii="Times New Roman" w:hAnsi="Times New Roman"/>
          <w:b w:val="0"/>
          <w:i w:val="0"/>
          <w:color w:val="000000"/>
          <w:sz w:val="24"/>
        </w:rPr>
        <w:t>A tendência é a reta de mínimos quadrados da série diária sobre o dia, e a inclinação é reportada em unidades da variável por dia, ou em pontos percentuais por dia no caso dos perfis. O intervalo de confiança da inclinação e a faixa de confiança da própria reta vêm da mesma reamostragem por atleta, de modo que a incerteza da tendência herda a estrutura de medidas repetidas. Uma inclinação é interpretada apenas quando o intervalo dela não contém o zero, e o valor de p reportado é bilateral, obtido da fração de reamostras cuja inclinação tem sinal oposto ao da estimativa.</w:t>
      </w:r>
    </w:p>
    <w:p>
      <w:pPr>
        <w:spacing w:line="240" w:lineRule="auto" w:after="80"/>
        <w:ind w:firstLine="709"/>
        <w:jc w:val="both"/>
      </w:pPr>
      <w:r>
        <w:rPr>
          <w:rFonts w:ascii="Times New Roman" w:hAnsi="Times New Roman"/>
          <w:b w:val="0"/>
          <w:i w:val="0"/>
          <w:color w:val="000000"/>
          <w:sz w:val="24"/>
        </w:rPr>
        <w:t>A decomposição separa a série em duas partes que somam o observado: a reta e o desvio em relação a ela. A fração da variância da série que a reta explica, o R², mede quanto do movimento é monótono. Um R² alto autoriza a leitura de tendência e a projeção do valor de um dia futuro; um R² baixo com derivadas grandes indica deslocamento por degraus, que não admite projeção e exige agir sobre o dia que produz o degrau. As duas situações aparecem nesta amostra e levam a condutas diferentes, o que é a razão de reportar o R² ao lado da inclinação.</w:t>
      </w:r>
    </w:p>
    <w:p>
      <w:pPr>
        <w:spacing w:line="240" w:lineRule="auto" w:after="80"/>
        <w:ind w:firstLine="709"/>
        <w:jc w:val="both"/>
      </w:pPr>
      <w:r>
        <w:rPr>
          <w:rFonts w:ascii="Times New Roman" w:hAnsi="Times New Roman"/>
          <w:b w:val="0"/>
          <w:i w:val="0"/>
          <w:color w:val="000000"/>
          <w:sz w:val="24"/>
        </w:rPr>
        <w:t>Sobre a série suavizada calculam-se ainda a derivada e os pontos de virada. Um ponto de virada é um dia em que a derivada troca de sinal, isto é, um máximo ou um mínimo local. Ele é classificado como sustentado quando ao menos uma das duas derivadas que o formam supera o piso de ruído da série, e apenas os sustentados são interpretados. A qualificação é necessária porque uma série de sete pontos com adesão desigual produz trocas de sinal por acaso com frequência alta, e a inspeção visual não as distingue das reais.</w:t>
      </w:r>
    </w:p>
    <w:p>
      <w:pPr>
        <w:spacing w:line="240" w:lineRule="auto" w:after="80"/>
        <w:ind w:firstLine="709"/>
        <w:jc w:val="both"/>
      </w:pPr>
      <w:r>
        <w:rPr>
          <w:rFonts w:ascii="Times New Roman" w:hAnsi="Times New Roman"/>
          <w:b w:val="0"/>
          <w:i w:val="0"/>
          <w:color w:val="000000"/>
          <w:sz w:val="24"/>
        </w:rPr>
        <w:t>A comparação entre o primeiro e o último dia foi conduzida em duas formas. Para as variáveis contínuas, ela é pareada por atleta e restrita a quem respondeu nos dois dias, com o tamanho de efeito para medidas pareadas e intervalo por reamostragem das diferenças individuais. Para os perfis, ela é a diferença entre as prevalências dos dois dias, em pontos percentuais, com intervalo pela reamostragem por atleta. As duas respondem perguntas distintas: a primeira mede quanto mudou o atleta médio, a segunda quanto mudou a composição do elenco.</w:t>
      </w:r>
    </w:p>
    <w:p>
      <w:pPr>
        <w:pStyle w:val="Heading3"/>
      </w:pPr>
      <w:r>
        <w:t>3.8.10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8,63</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67,48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59,96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16,79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80,31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49,8% e 80,3%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+6,37 ponto entre o primeiro e o último dia, a fadiga do BRUMS sobe +3,82, a fadiga física +3,35 e o vigor cai −3,38.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−1,28 ponto e a confusão −0,51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4,26 pontos, separação muito acima do limiar de ruído do par, de 1,03 pontos. Na véspera da competição a relação está invertida, e a fadiga supera o vigor em 2,94 pontos, também acima do limiar. As duas pontas superam o ruído e têm sinais opostos, e por isso a inversão é dada por estabelecida pelo critério da seção 3.8.7. O cruzamento das curvas suavizadas ocorre no dia 3,93,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+3,35 ponto ao longo da semana, com eta² parcial de 0,200, o maior de todas as variáveis do estudo. A fadiga mental sobe apenas +0,19 ponto, variação inferior ao piso de ruído da série, de 0,80 ponto, e com o segundo menor eta² do conjunto. As duas curvas partem praticamente do mesmo ponto, separadas por 0,52 ponto, valor abaixo do limiar de ruído de 1,14, e terminam a 2,65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2,52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1,81 e 5,05 pontos, e a série sobe para 8,19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3,93, 4,15, 5,17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1,87, 3,92, 5,34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6,41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1,87, 3,92, 5,34, mas a separação entre as duas curvas no dia 1 é de apenas 0,39 ponto, abaixo do limiar de 0,67. Os três cruzamentos são, por isso, oscilação dentro do ruído, e não trocas de dominância. O par tensão e depressão cruza uma única vez, no dia 6,41,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3,52, e muito na confusão, que parte de 1,02. Nessa régua, a perturbação total do humor termina em 451% do valor inicial, a fadiga em 209%, a fadiga física em 180% e o vigor em 56%.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38,1% das observações, seguido do superfície com 31,0%, do Everest invertido com 4,8%, do iceberg invertido com 7,1%, do submerso com 19,0% e da barbatana de tubarão com 0,0% (Tabela 8). Os três perfis associados a risco à saúde mental somam 11,9%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218436"/>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21843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73,8% para 34,8%, perda de 39,0 pontos percentuais, e a de humor perturbado sobe de 50,0% para 71,7%, ganho de 21,7 pontos (Tabela 12). Pela classificação nos seis perfis, no mesmo intervalo, o perfil iceberg recua 16,4 pontos percentuais e a barbatana de tubarão avança 26,1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 (38,1)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 (21,7)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(31,0)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(23,9)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(19,0)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 (19,6)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(4,8)</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 (0,0)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 (26,1)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−6,5</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34,8</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+22,9</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73,8% para 34,8% e a de humor perturbado de 50,0% para 71,7%; esse critério não classifica nos seis perfis e é discutido na seção 4.9. Fonte primária: Tabela 12 do estudo de perfil e Tabela 20 do relatório completo.</w:t>
      </w:r>
    </w:p>
    <w:p>
      <w:pPr>
        <w:spacing w:line="240" w:lineRule="auto" w:after="80"/>
        <w:ind w:firstLine="709"/>
        <w:jc w:val="both"/>
      </w:pPr>
      <w:r>
        <w:rPr>
          <w:rFonts w:ascii="Times New Roman" w:hAnsi="Times New Roman"/>
          <w:b w:val="0"/>
          <w:i w:val="0"/>
          <w:color w:val="000000"/>
          <w:sz w:val="24"/>
        </w:rPr>
        <w:t>Os dois dias extremos, porém, não contam a semana inteira. Com a base por atleta e por dia, a classificação foi calculada nos sete dias, e a Tabela 11 traz a série completa. Ela mostra que a trajetória não é monótona: o perfil iceberg cai nos dois primeiros dias, recupera-se até 43,7% no dia 5, e só então despenca para 21,7% na véspera. A barbatana de tubarão faz o percurso inverso e mais regular: parte de 0,0%, isto é, de nenhuma observação no dia de repouso, e sobe em todos os dias até 26,1%.</w:t>
      </w:r>
    </w:p>
    <w:p>
      <w:pPr>
        <w:spacing w:line="240" w:lineRule="auto" w:after="60"/>
        <w:ind w:firstLine="0"/>
        <w:jc w:val="left"/>
      </w:pPr>
      <w:r>
        <w:rPr>
          <w:rFonts w:ascii="Times New Roman" w:hAnsi="Times New Roman"/>
          <w:b w:val="0"/>
          <w:i w:val="0"/>
          <w:color w:val="000000"/>
          <w:sz w:val="20"/>
        </w:rPr>
        <w:t>Tabela 11 - Prevalência diária de cada um dos seis perfis de humor ao longo do microciclo, com o piso de ruído e os dias de choque</w:t>
      </w:r>
    </w:p>
    <w:tbl>
      <w:tblPr>
        <w:tblStyle w:val="TableGrid"/>
        <w:tblW w:type="auto" w:w="0"/>
        <w:jc w:val="center"/>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2</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3</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4</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5</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6</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Semana</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Norma (%)</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Choques</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 (31,9)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 (43,7)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 (42,6)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(31,0)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(12,5)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(23,7)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(11,8)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(23,9)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 (26,4)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(19,7)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(14,7)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(19,6)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(7,4)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(18,1)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(13,6)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(16,2)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(26,1)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(8,5)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1, 3</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Faixas de significado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Favorável</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Neutro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 risco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observações</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59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68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atletas</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20</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23</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22</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21</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cada célula traz o número de observações e, entre parênteses, o percentual daquele dia. A classificação atribui cada observação ao centroide publicado mais próximo sobre escores T internos, conforme a seção 3.7. A coluna de norma traz a prevalência da Amostra A de Parsons-Smith, Terry e Machin (2017), com 2364 respondentes. O piso de ruído é o erro-padrão binomial médio da série, e um dia é de choque quando a derivada que parte dele supera esse piso. As faixas somam perfis com denominadores idênticos e por isso trazem apenas o percentual.</w:t>
      </w:r>
    </w:p>
    <w:p>
      <w:pPr>
        <w:spacing w:line="240" w:lineRule="auto" w:after="60"/>
        <w:ind w:firstLine="0"/>
        <w:jc w:val="left"/>
      </w:pPr>
      <w:r>
        <w:rPr>
          <w:rFonts w:ascii="Times New Roman" w:hAnsi="Times New Roman"/>
          <w:b w:val="0"/>
          <w:i w:val="0"/>
          <w:color w:val="000000"/>
          <w:sz w:val="20"/>
        </w:rPr>
        <w:t>Figura 7 - Prevalência diária de cada um dos seis perfis, com o dia em que o iceberg e a barbatana de tubarão se cruzam (A), e composição do grupo em faixas de significado ao longo da semana (B)</w:t>
      </w:r>
    </w:p>
    <w:p>
      <w:pPr>
        <w:spacing w:after="40"/>
        <w:jc w:val="center"/>
      </w:pPr>
      <w:r>
        <w:drawing>
          <wp:inline xmlns:a="http://schemas.openxmlformats.org/drawingml/2006/main" xmlns:pic="http://schemas.openxmlformats.org/drawingml/2006/picture">
            <wp:extent cx="5903999" cy="2858510"/>
            <wp:docPr id="7" name="Picture 7"/>
            <wp:cNvGraphicFramePr>
              <a:graphicFrameLocks noChangeAspect="1"/>
            </wp:cNvGraphicFramePr>
            <a:graphic>
              <a:graphicData uri="http://schemas.openxmlformats.org/drawingml/2006/picture">
                <pic:pic>
                  <pic:nvPicPr>
                    <pic:cNvPr id="0" name="a1_curva_perfis.png"/>
                    <pic:cNvPicPr/>
                  </pic:nvPicPr>
                  <pic:blipFill>
                    <a:blip r:embed="rId15"/>
                    <a:stretch>
                      <a:fillRect/>
                    </a:stretch>
                  </pic:blipFill>
                  <pic:spPr>
                    <a:xfrm>
                      <a:off x="0" y="0"/>
                      <a:ext cx="5903999" cy="285851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7 mostra as seis curvas. O ponto de encontro entre o perfil iceberg e a barbatana de tubarão ocorre no dia 6,8, isto é, já dentro do último dia, e é o único cruzamento entre os dois na semana. Até ali o iceberg é o perfil mais frequente em todos os dias; a partir dali não é mais. O teste do piso de ruído qualifica a leitura de cada curva: a queda do iceberg concentra-se em um único choque, do dia 6 para o dia 7, e a subida da barbatana de tubarão tem choques nos dias 1, 2, 6. As curvas dos outros quatro perfis permanecem, na maior parte da semana, dentro da faixa em que a variação não é distinguível de flutuação amostral.</w:t>
      </w:r>
    </w:p>
    <w:p>
      <w:pPr>
        <w:spacing w:line="240" w:lineRule="auto" w:after="80"/>
        <w:ind w:firstLine="709"/>
        <w:jc w:val="both"/>
      </w:pPr>
      <w:r>
        <w:rPr>
          <w:rFonts w:ascii="Times New Roman" w:hAnsi="Times New Roman"/>
          <w:b w:val="0"/>
          <w:i w:val="0"/>
          <w:color w:val="000000"/>
          <w:sz w:val="24"/>
        </w:rPr>
        <w:t>O painel B agrega os seis perfis em três faixas: favorável, que reúne o iceberg; neutra, que reúne superfície e submerso; e de risco, que reúne barbatana de tubarão, iceberg invertido e Everest invertido. A faixa favorável cai de 38,1% para 21,7%, a neutra de 50,0% para 43,5% e a de risco sobe de 11,9% para 34,8%, o que quase triplica a proporção inicial. O aumento não se distribui pelos três perfis de risco: ele se concentra na barbatana de tubarão, que passa de 0 para 12 observações e se torna o perfil mais frequente do último dia. O iceberg invertido recua e o Everest invertido fica estável.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12 -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10,1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10,1 pontos percentuais: a do dia 1 para o dia 2, de −20,8 pontos, e a do dia 6 para o dia 7, de −11,2 pontos. Entre elas há um platô: as quatro variações intermediárias ficam entre −8,9 e +4,2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O perfil do grupo em cada dia da semana</w:t>
      </w:r>
    </w:p>
    <w:p>
      <w:pPr>
        <w:spacing w:line="240" w:lineRule="auto" w:after="80"/>
        <w:ind w:firstLine="0"/>
        <w:jc w:val="both"/>
      </w:pPr>
      <w:r>
        <w:rPr>
          <w:rFonts w:ascii="Times New Roman" w:hAnsi="Times New Roman"/>
          <w:b w:val="0"/>
          <w:i w:val="0"/>
          <w:color w:val="000000"/>
          <w:sz w:val="24"/>
        </w:rPr>
        <w:t>A prevalência dos seis perfis é conhecida apenas no dia 1 e no dia 7, porque a classificação é feita observação a observação e a base por atleta e por dia não está disponível. O que existe para os sete dias é a média diária de cada subescala, e dela sai a leitura desta seção: a forma que o perfil do atleta médio assume em cada dia. A distinção é declarada aqui e repetida na nota da Tabela 12, porque as duas coisas não são intercambiáveis: uma média pode ter forma de iceberg com metade do elenco fora dele.</w:t>
      </w:r>
    </w:p>
    <w:p>
      <w:pPr>
        <w:spacing w:line="240" w:lineRule="auto" w:after="60"/>
        <w:ind w:firstLine="0"/>
        <w:jc w:val="left"/>
      </w:pPr>
      <w:r>
        <w:rPr>
          <w:rFonts w:ascii="Times New Roman" w:hAnsi="Times New Roman"/>
          <w:b w:val="0"/>
          <w:i w:val="0"/>
          <w:color w:val="000000"/>
          <w:sz w:val="20"/>
        </w:rPr>
        <w:t>Tabela 13 - Perfil de humor do grupo em escores T em cada dia do microciclo, com a amplitude do perfil e o eixo energético</w:t>
      </w:r>
    </w:p>
    <w:tbl>
      <w:tblPr>
        <w:tblStyle w:val="TableGrid"/>
        <w:tblW w:type="auto" w:w="0"/>
        <w:jc w:val="center"/>
        <w:tblLayout w:type="autofit"/>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Amplitude</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 − 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Tem forma</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45,8</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escores T de média 50 e desvio-padrão 10, calculados contra a média e o desvio-padrão da própria amostra, conforme a Tabela 2, que é o mesmo procedimento adotado pelo documento de origem para classificar o dia 1 e o dia 7. A padronização é interna e os valores não são comparáveis aos de estudos que padronizam contra normas populacionais. A amplitude é a distância entre a subescala mais alta e a mais baixa do dia, e mede o quanto o perfil tem forma, não a direção dela. O erro-padrão da média diária em unidades T vale 10 dividido pela raiz do n do dia, e não depende da subescala; a coluna final marca os dias em que a amplitude supera o dobro desse erro-padrão, cuja média na semana é de 2,07 pontos. Esta tabela descreve a forma do atleta médio, e não a distribuição dos atletas pelos seis perfis, que é objeto das Tabelas 8 e 10.</w:t>
      </w:r>
    </w:p>
    <w:p>
      <w:pPr>
        <w:spacing w:line="240" w:lineRule="auto" w:after="60"/>
        <w:ind w:firstLine="0"/>
        <w:jc w:val="left"/>
      </w:pPr>
      <w:r>
        <w:rPr>
          <w:rFonts w:ascii="Times New Roman" w:hAnsi="Times New Roman"/>
          <w:b w:val="0"/>
          <w:i w:val="0"/>
          <w:color w:val="000000"/>
          <w:sz w:val="20"/>
        </w:rPr>
        <w:t>Figura 9 - Perfil de humor do grupo em escores T em cada dia (A) e amplitude do perfil e eixo energético ao longo da semana (B)</w:t>
      </w:r>
    </w:p>
    <w:p>
      <w:pPr>
        <w:spacing w:after="40"/>
        <w:jc w:val="center"/>
      </w:pPr>
      <w:r>
        <w:drawing>
          <wp:inline xmlns:a="http://schemas.openxmlformats.org/drawingml/2006/main" xmlns:pic="http://schemas.openxmlformats.org/drawingml/2006/picture">
            <wp:extent cx="5903999" cy="2717495"/>
            <wp:docPr id="9" name="Picture 9"/>
            <wp:cNvGraphicFramePr>
              <a:graphicFrameLocks noChangeAspect="1"/>
            </wp:cNvGraphicFramePr>
            <a:graphic>
              <a:graphicData uri="http://schemas.openxmlformats.org/drawingml/2006/picture">
                <pic:pic>
                  <pic:nvPicPr>
                    <pic:cNvPr id="0" name="a1_perfil_diario.png"/>
                    <pic:cNvPicPr/>
                  </pic:nvPicPr>
                  <pic:blipFill>
                    <a:blip r:embed="rId17"/>
                    <a:stretch>
                      <a:fillRect/>
                    </a:stretch>
                  </pic:blipFill>
                  <pic:spPr>
                    <a:xfrm>
                      <a:off x="0" y="0"/>
                      <a:ext cx="5903999" cy="271749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9 sobrepõe os sete perfis diários. O do dia 1 tem a forma clássica descrita por Morgan: o vigor é a subescala mais alta, com escore T de 56,6, e a fadiga é a mais baixa, com 44,6. O do dia 7 é a imagem espelhada: a fadiga sobe a 54,4 e o vigor cai a 45,8, com a raiva em 53,5 logo atrás da fadiga. Entre um e outro, os perfis dos dias 2 a 6 ficam quase todos dentro da faixa de erro-padrão da média, isto é, sem forma distinguível de uma linha reta sobre o valor 50.</w:t>
      </w:r>
    </w:p>
    <w:p>
      <w:pPr>
        <w:spacing w:line="240" w:lineRule="auto" w:after="80"/>
        <w:ind w:firstLine="709"/>
        <w:jc w:val="both"/>
      </w:pPr>
      <w:r>
        <w:rPr>
          <w:rFonts w:ascii="Times New Roman" w:hAnsi="Times New Roman"/>
          <w:b w:val="0"/>
          <w:i w:val="0"/>
          <w:color w:val="000000"/>
          <w:sz w:val="24"/>
        </w:rPr>
        <w:t>O painel B quantifica essa observação. A amplitude do perfil, definida como a distância entre a subescala mais alta e a mais baixa do dia, vale 12,1 pontos no dia 1 e 8,6 pontos no dia 7, e fica entre 1,3 e 3,6 pontos nos cinco dias intermediários. Apenas o primeiro e o último dia superam o limiar de forma, definido como o dobro do erro-padrão da média diária, que em unidades de escore T vale 10 dividido pela raiz do n do dia e tem média de 2,07 pontos na semana. O perfil do grupo, portanto, não se desloca gradualmente de uma forma para a outra: ele perde a forma no segundo dia, permanece achatado por cinco dias e recompõe forma na véspera da competição, com o sinal invertido.</w:t>
      </w:r>
    </w:p>
    <w:p>
      <w:pPr>
        <w:spacing w:line="240" w:lineRule="auto" w:after="80"/>
        <w:ind w:firstLine="709"/>
        <w:jc w:val="both"/>
      </w:pPr>
      <w:r>
        <w:rPr>
          <w:rFonts w:ascii="Times New Roman" w:hAnsi="Times New Roman"/>
          <w:b w:val="0"/>
          <w:i w:val="0"/>
          <w:color w:val="000000"/>
          <w:sz w:val="24"/>
        </w:rPr>
        <w:t>O eixo energético mede a mesma coisa com sinal. A diferença entre vigor e fadiga em unidades T vale +12,1 pontos no dia 1 e −8,6 no dia 7, e oscila em torno de zero nos dias intermediários. Essa é a mesma inversão descrita na seção 4.3 em escores brutos, agora expressa em unidades comparáveis entre subescalas, e ela concorda com o deslocamento da prevalência descrito na seção 4.5: a forma do dia 7, com o vigor mais baixo e a fadiga mais alta do conjunto, é a definição do perfil barbatana de tubarão, que passa de 0,0% a 26,1% das observações no mesmo intervalo. As duas análises, a de contagem e a de forma, chegam ao mesmo lugar por caminhos independentes.</w:t>
      </w:r>
    </w:p>
    <w:p>
      <w:pPr>
        <w:spacing w:line="240" w:lineRule="auto" w:after="80"/>
        <w:ind w:firstLine="709"/>
        <w:jc w:val="both"/>
      </w:pPr>
      <w:r>
        <w:rPr>
          <w:rFonts w:ascii="Times New Roman" w:hAnsi="Times New Roman"/>
          <w:b w:val="0"/>
          <w:i w:val="0"/>
          <w:color w:val="000000"/>
          <w:sz w:val="24"/>
        </w:rPr>
        <w:t>Resta declarar o que esta seção não entrega. A prevalência diária de cada um dos seis perfis, que seria a informação mais útil à comissão técnica, exige classificar cada observação de cada dia, e isso depende de duas coisas ausentes: a base por atleta e por dia, e a declaração explícita dos centroides usados para classificar o dia 1 e o dia 7. A rotina de cálculo está escrita e versionada, e a análise passa a ser um comando assim que as duas existirem. Até lá, a série diária disponível é a do critério de Morgan, com dois estados em vez de seis, apresentada na seção 4.5.</w:t>
      </w:r>
    </w:p>
    <w:p>
      <w:pPr>
        <w:pStyle w:val="Heading2"/>
      </w:pPr>
      <w:r>
        <w:t>4.7 Decomposição das séries: tendência, ruído e viradas</w:t>
      </w:r>
    </w:p>
    <w:p>
      <w:pPr>
        <w:spacing w:line="240" w:lineRule="auto" w:after="80"/>
        <w:ind w:firstLine="0"/>
        <w:jc w:val="both"/>
      </w:pPr>
      <w:r>
        <w:rPr>
          <w:rFonts w:ascii="Times New Roman" w:hAnsi="Times New Roman"/>
          <w:b w:val="0"/>
          <w:i w:val="0"/>
          <w:color w:val="000000"/>
          <w:sz w:val="24"/>
        </w:rPr>
        <w:t>As seções anteriores descreveram cada série pela sua forma. Esta separa, em cada uma delas, o que é tendência do que é desvio, e acompanha cada parte de um intervalo de confiança. O objetivo é responder a uma pergunta que a inspeção visual não responde: quando uma variável muda ao longo da semana, ela muda de modo regular, caso em que a reta descreve o movimento, ou muda por degraus, caso em que a reta é enganosa e a derivada é a leitura correta.</w:t>
      </w:r>
    </w:p>
    <w:p>
      <w:pPr>
        <w:spacing w:line="240" w:lineRule="auto" w:after="60"/>
        <w:ind w:firstLine="0"/>
        <w:jc w:val="left"/>
      </w:pPr>
      <w:r>
        <w:rPr>
          <w:rFonts w:ascii="Times New Roman" w:hAnsi="Times New Roman"/>
          <w:b w:val="0"/>
          <w:i w:val="0"/>
          <w:color w:val="000000"/>
          <w:sz w:val="20"/>
        </w:rPr>
        <w:t>Tabela 14 - Decomposição da série de cada variável: reta sobre o dia com intervalo de confiança, fração explicada, piso de ruído, dias de choque e pontos de virada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[+0,057; +1,271]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[+0,184; +0,695]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[+0,296; +0,509]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[−0,543; −0,153]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[−0,287; −0,020]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[−0,118; +0,012]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[−0,198; +0,303]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[−0,105; +0,164]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[−0,126; +0,145]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inclinação é de mínimos quadrados sobre o dia, em pontos da escala por dia, e o intervalo de confiança vem de 10 mil reamostragens por atleta, com a semente declarada no método. O R² é a fração da variância da série diária que a reta explica, e mede quanto do movimento é monótono; o restante é o desvio em relação à reta, onde ficam os platôs e as reversões. O piso de ruído é o erro-padrão médio da série pela mesma reamostragem. Um dia é de choque quando a derivada que parte dele supera o piso. Uma virada é um dia em que a derivada troca de sinal, e o asterisco marca a virada sustentada, isto é, aquela em que ao menos uma das duas derivadas supera o piso.</w:t>
      </w:r>
    </w:p>
    <w:p>
      <w:pPr>
        <w:spacing w:line="240" w:lineRule="auto" w:after="60"/>
        <w:ind w:firstLine="0"/>
        <w:jc w:val="left"/>
      </w:pPr>
      <w:r>
        <w:rPr>
          <w:rFonts w:ascii="Times New Roman" w:hAnsi="Times New Roman"/>
          <w:b w:val="0"/>
          <w:i w:val="0"/>
          <w:color w:val="000000"/>
          <w:sz w:val="20"/>
        </w:rPr>
        <w:t>Figura 10 - Decomposição de cada variável ao longo dos sete dias, com a banda de 95% da série, a reta sobre o dia e o intervalo de confiança dela, e os pontos de virada sustentados</w:t>
      </w:r>
    </w:p>
    <w:p>
      <w:pPr>
        <w:spacing w:after="40"/>
        <w:jc w:val="center"/>
      </w:pPr>
      <w:r>
        <w:drawing>
          <wp:inline xmlns:a="http://schemas.openxmlformats.org/drawingml/2006/main" xmlns:pic="http://schemas.openxmlformats.org/drawingml/2006/picture">
            <wp:extent cx="5976000" cy="5022791"/>
            <wp:docPr id="10" name="Picture 10"/>
            <wp:cNvGraphicFramePr>
              <a:graphicFrameLocks noChangeAspect="1"/>
            </wp:cNvGraphicFramePr>
            <a:graphic>
              <a:graphicData uri="http://schemas.openxmlformats.org/drawingml/2006/picture">
                <pic:pic>
                  <pic:nvPicPr>
                    <pic:cNvPr id="0" name="a1_decomposicao_variaveis.png"/>
                    <pic:cNvPicPr/>
                  </pic:nvPicPr>
                  <pic:blipFill>
                    <a:blip r:embed="rId18"/>
                    <a:stretch>
                      <a:fillRect/>
                    </a:stretch>
                  </pic:blipFill>
                  <pic:spPr>
                    <a:xfrm>
                      <a:off x="0" y="0"/>
                      <a:ext cx="5976000" cy="502279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Quatro variáveis têm inclinação cujo intervalo de confiança não contém o zero, e as quatro são do eixo energético. A fadiga do BRUMS sobe +0,437 ponto por dia, com intervalo de [+0,184; +0,695] e R² de 0,70; a fadiga física sobe +0,398 por dia, com o maior R² do conjunto, 0,72; o vigor cai −0,351 por dia; e a perturbação total sobe +0,638. A tensão é a quinta, e a única cuja tendência é favorável: cai −0,148 ponto por dia, com R² de 0,52. Depressão, raiva, confusão e fadiga mental têm intervalo que contém o zero, e para elas a semana não tem direção.</w:t>
      </w:r>
    </w:p>
    <w:p>
      <w:pPr>
        <w:spacing w:line="240" w:lineRule="auto" w:after="80"/>
        <w:ind w:firstLine="709"/>
        <w:jc w:val="both"/>
      </w:pPr>
      <w:r>
        <w:rPr>
          <w:rFonts w:ascii="Times New Roman" w:hAnsi="Times New Roman"/>
          <w:b w:val="0"/>
          <w:i w:val="0"/>
          <w:color w:val="000000"/>
          <w:sz w:val="24"/>
        </w:rPr>
        <w:t>O R² separa os dois regimes anunciados. A fadiga física, com 0,72, e a fadiga do BRUMS, com 0,70, têm a maior parte do movimento capturada por uma reta: elas sobem de modo regular, dia após dia, e a comissão técnica pode projetá-las. A perturbação total, com 0,40, deixa mais da metade da variância fora da reta, e o painel dela na Figura 10 mostra por quê: a série tem platô nos cinco primeiros dias e degrau no fim, e o único dia de choque está no dia 6. Projetar a perturbação total por reta subestimaria o valor da véspera.</w:t>
      </w:r>
    </w:p>
    <w:p>
      <w:pPr>
        <w:spacing w:line="240" w:lineRule="auto" w:after="80"/>
        <w:ind w:firstLine="709"/>
        <w:jc w:val="both"/>
      </w:pPr>
      <w:r>
        <w:rPr>
          <w:rFonts w:ascii="Times New Roman" w:hAnsi="Times New Roman"/>
          <w:b w:val="0"/>
          <w:i w:val="0"/>
          <w:color w:val="000000"/>
          <w:sz w:val="24"/>
        </w:rPr>
        <w:t>As viradas sustentadas são raras, e é isso que se espera de uma série curta lida com critério. Das nove variáveis, apenas a raiva tem uma virada que supera o piso de ruído, um mínimo no dia 5, o dia em que ela cai a 0,61 ponto antes de subir a 2,52 na véspera. As demais viradas visíveis nos painéis ficam abaixo do piso e não são interpretadas. A distinção importa porque uma série de sete pontos com adesão desigual produz muitas trocas de sinal por acaso.</w:t>
      </w:r>
    </w:p>
    <w:p>
      <w:pPr>
        <w:spacing w:line="240" w:lineRule="auto" w:after="60"/>
        <w:ind w:firstLine="0"/>
        <w:jc w:val="left"/>
      </w:pPr>
      <w:r>
        <w:rPr>
          <w:rFonts w:ascii="Times New Roman" w:hAnsi="Times New Roman"/>
          <w:b w:val="0"/>
          <w:i w:val="0"/>
          <w:color w:val="000000"/>
          <w:sz w:val="20"/>
        </w:rPr>
        <w:t>Tabela 15 - Decomposição da série de cada perfil, com os mesmos índices aplicados às prevalências diárias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(p.p.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[+1,23; +5,56]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[−3,77; +0,36]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 +0,37]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[−2,98; +1,86]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[−2,37; +1,61]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 +1,17]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definições são as da Tabela 14, aplicadas à prevalência diária de cada perfil, em pontos percentuais. A reamostragem é a mesma, por atleta, de modo que a incerteza da prevalência herda a estrutura de medidas repetidas e não trata como independentes as várias respostas do mesmo participante no mesmo dia.</w:t>
      </w:r>
    </w:p>
    <w:p>
      <w:pPr>
        <w:spacing w:line="240" w:lineRule="auto" w:after="60"/>
        <w:ind w:firstLine="0"/>
        <w:jc w:val="left"/>
      </w:pPr>
      <w:r>
        <w:rPr>
          <w:rFonts w:ascii="Times New Roman" w:hAnsi="Times New Roman"/>
          <w:b w:val="0"/>
          <w:i w:val="0"/>
          <w:color w:val="000000"/>
          <w:sz w:val="20"/>
        </w:rPr>
        <w:t>Figura 11 - Decomposição da prevalência de cada perfil ao longo dos sete dias, com os mesmos elementos da Figura 10</w:t>
      </w:r>
    </w:p>
    <w:p>
      <w:pPr>
        <w:spacing w:after="40"/>
        <w:jc w:val="center"/>
      </w:pPr>
      <w:r>
        <w:drawing>
          <wp:inline xmlns:a="http://schemas.openxmlformats.org/drawingml/2006/main" xmlns:pic="http://schemas.openxmlformats.org/drawingml/2006/picture">
            <wp:extent cx="5976000" cy="3989902"/>
            <wp:docPr id="11" name="Picture 11"/>
            <wp:cNvGraphicFramePr>
              <a:graphicFrameLocks noChangeAspect="1"/>
            </wp:cNvGraphicFramePr>
            <a:graphic>
              <a:graphicData uri="http://schemas.openxmlformats.org/drawingml/2006/picture">
                <pic:pic>
                  <pic:nvPicPr>
                    <pic:cNvPr id="0" name="a1_decomposicao_perfis.png"/>
                    <pic:cNvPicPr/>
                  </pic:nvPicPr>
                  <pic:blipFill>
                    <a:blip r:embed="rId19"/>
                    <a:stretch>
                      <a:fillRect/>
                    </a:stretch>
                  </pic:blipFill>
                  <pic:spPr>
                    <a:xfrm>
                      <a:off x="0" y="0"/>
                      <a:ext cx="5976000" cy="3989902"/>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resultado mais importante desta seção está na Tabela 15, e ele qualifica tudo o que as seções anteriores descreveram. De todos os seis perfis, apenas a barbatana de tubarão tem tendência linear cujo intervalo não contém o zero: ela sobe +3,38 pontos percentuais por dia, com intervalo de [+1,23; +5,56] e R² de 0,77, o mais alto de todas as séries do estudo, de variável ou de perfil.</w:t>
      </w:r>
    </w:p>
    <w:p>
      <w:pPr>
        <w:spacing w:line="240" w:lineRule="auto" w:after="80"/>
        <w:ind w:firstLine="709"/>
        <w:jc w:val="both"/>
      </w:pPr>
      <w:r>
        <w:rPr>
          <w:rFonts w:ascii="Times New Roman" w:hAnsi="Times New Roman"/>
          <w:b w:val="0"/>
          <w:i w:val="0"/>
          <w:color w:val="000000"/>
          <w:sz w:val="24"/>
        </w:rPr>
        <w:t>O perfil iceberg, em contraste, não tem tendência: a inclinação é de −0,62 ponto percentual por dia, com intervalo que contém o zero com folga, e R² de 0,03, isto é, a reta não explica praticamente nada da série. O painel do iceberg na Figura 11 mostra a razão: a prevalência oscila entre 32% e 44% nos seis primeiros dias e cai apenas no sétimo, e o único dia de choque é o dia 6. Os dois perfis que dominam a leitura desta semana, portanto, têm dinâmicas opostas e não são a mesma história vista de dois lados: a barbatana de tubarão cresce por acúmulo, de modo regular e previsível desde o segundo dia, e o iceberg desaba de uma vez, na véspera. Essa distinção não aparece na comparação entre as duas pontas e é o principal ganho de acompanhar os sete dias.</w:t>
      </w:r>
    </w:p>
    <w:p>
      <w:pPr>
        <w:spacing w:line="240" w:lineRule="auto" w:after="80"/>
        <w:ind w:firstLine="709"/>
        <w:jc w:val="both"/>
      </w:pPr>
      <w:r>
        <w:rPr>
          <w:rFonts w:ascii="Times New Roman" w:hAnsi="Times New Roman"/>
          <w:b w:val="0"/>
          <w:i w:val="0"/>
          <w:color w:val="000000"/>
          <w:sz w:val="24"/>
        </w:rPr>
        <w:t>A consequência prática é direta. Uma tendência regular admite projeção e intervenção antecipada: com a inclinação da barbatana de tubarão conhecida desde o meio da semana, a comissão técnica pode estimar a prevalência da véspera antes de chegar nela. Um degrau não admite: ele só é observável depois de acontecer, e a única defesa contra ele é agir sobre o que o produz, que na seção 4.5 é o dia de maior acúmulo.</w:t>
      </w:r>
    </w:p>
    <w:p>
      <w:pPr>
        <w:pStyle w:val="Heading2"/>
      </w:pPr>
      <w:r>
        <w:t>4.8 As duas comparações entre o primeiro e o último dia</w:t>
      </w:r>
    </w:p>
    <w:p>
      <w:pPr>
        <w:spacing w:line="240" w:lineRule="auto" w:after="80"/>
        <w:ind w:firstLine="0"/>
        <w:jc w:val="both"/>
      </w:pPr>
      <w:r>
        <w:rPr>
          <w:rFonts w:ascii="Times New Roman" w:hAnsi="Times New Roman"/>
          <w:b w:val="0"/>
          <w:i w:val="0"/>
          <w:color w:val="000000"/>
          <w:sz w:val="24"/>
        </w:rPr>
        <w:t>Esta seção responde à pergunta mais direta do estudo, em duas formas complementares: quanto cada variável e cada perfil mudam entre o dia de repouso e a véspera da competição. A comparação de variáveis é pareada por atleta, o que isola a mudança individual; a de perfis é de prevalência, o que descreve a composição do grupo. As duas trazem intervalo de confiança pela mesma reamostragem, e a leitura conjunta delas está na Figura 12.</w:t>
      </w:r>
    </w:p>
    <w:p>
      <w:pPr>
        <w:spacing w:line="240" w:lineRule="auto" w:after="60"/>
        <w:ind w:firstLine="0"/>
        <w:jc w:val="left"/>
      </w:pPr>
      <w:r>
        <w:rPr>
          <w:rFonts w:ascii="Times New Roman" w:hAnsi="Times New Roman"/>
          <w:b w:val="0"/>
          <w:i w:val="0"/>
          <w:color w:val="000000"/>
          <w:sz w:val="20"/>
        </w:rPr>
        <w:t>Tabela 16 - Comparação entre o primeiro e o último dia para cada variável, restrita aos atletas com registro nos dois dias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de pares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dz</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[+2,56; +4,23]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[−4,74; −2,24]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[+2,10; +5,29]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[−2,14; −0,52]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 +10,41]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 −0,12]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 +1,21]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0,417</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 +1,40]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 +2,40]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comparação é pareada e usa apenas os atletas com observação válida no dia 1 e no dia 7, o que evita atribuir à passagem do tempo o que é efeito de quem respondeu em cada dia. O dz é a média das diferenças individuais dividida pelo desvio-padrão dessas diferenças. O intervalo e o p vêm de 10 mil reamostragens das diferenças individuais. Em vigor a diferença negativa é desfavorável; nas demais variáveis a diferença positiva é que o é.</w:t>
      </w:r>
    </w:p>
    <w:p>
      <w:pPr>
        <w:spacing w:line="240" w:lineRule="auto" w:after="60"/>
        <w:ind w:firstLine="0"/>
        <w:jc w:val="left"/>
      </w:pPr>
      <w:r>
        <w:rPr>
          <w:rFonts w:ascii="Times New Roman" w:hAnsi="Times New Roman"/>
          <w:b w:val="0"/>
          <w:i w:val="0"/>
          <w:color w:val="000000"/>
          <w:sz w:val="20"/>
        </w:rPr>
        <w:t>Tabela 17 - Comparação entre o primeiro e o último dia para cada perfil, em pontos percentuais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IC 95%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+41,7]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[−35,4; +4,6]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0,121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[−25,8; +9,7]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[−12,8; +8,1]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[−16,3; +18,0]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0,961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 +6,3]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Faixas de significado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Favorável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Neutro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 risco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prevalência do dia 7 menos a do dia 1, em pontos percentuais, e o intervalo vem de 10 mil reamostragens por atleta. Apenas a barbatana de tubarão tem intervalo que não contém o zero; com 27 atletas, a queda do perfil iceberg é grande mas não distinguível de zero, e o texto diz isso. As linhas de faixa não trazem intervalo porque somam perfis correlacionados entre si, e a reamostragem da soma exigiria tratamento multinomial que este estudo não conduziu.</w:t>
      </w:r>
    </w:p>
    <w:p>
      <w:pPr>
        <w:spacing w:line="240" w:lineRule="auto" w:after="60"/>
        <w:ind w:firstLine="0"/>
        <w:jc w:val="left"/>
      </w:pPr>
      <w:r>
        <w:rPr>
          <w:rFonts w:ascii="Times New Roman" w:hAnsi="Times New Roman"/>
          <w:b w:val="0"/>
          <w:i w:val="0"/>
          <w:color w:val="000000"/>
          <w:sz w:val="20"/>
        </w:rPr>
        <w:t>Figura 12 - Diferença entre o dia 7 e o dia 1 para cada variável, pareada por atleta (A), e para cada perfil, em pontos percentuais (B), com intervalo de confiança de 95%</w:t>
      </w:r>
    </w:p>
    <w:p>
      <w:pPr>
        <w:spacing w:after="40"/>
        <w:jc w:val="center"/>
      </w:pPr>
      <w:r>
        <w:drawing>
          <wp:inline xmlns:a="http://schemas.openxmlformats.org/drawingml/2006/main" xmlns:pic="http://schemas.openxmlformats.org/drawingml/2006/picture">
            <wp:extent cx="5903999" cy="2921596"/>
            <wp:docPr id="12" name="Picture 12"/>
            <wp:cNvGraphicFramePr>
              <a:graphicFrameLocks noChangeAspect="1"/>
            </wp:cNvGraphicFramePr>
            <a:graphic>
              <a:graphicData uri="http://schemas.openxmlformats.org/drawingml/2006/picture">
                <pic:pic>
                  <pic:nvPicPr>
                    <pic:cNvPr id="0" name="a1_d1_d7.png"/>
                    <pic:cNvPicPr/>
                  </pic:nvPicPr>
                  <pic:blipFill>
                    <a:blip r:embed="rId20"/>
                    <a:stretch>
                      <a:fillRect/>
                    </a:stretch>
                  </pic:blipFill>
                  <pic:spPr>
                    <a:xfrm>
                      <a:off x="0" y="0"/>
                      <a:ext cx="5903999" cy="292159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Seis das nove variáveis mudam com intervalo que não contém o zero, e a ordenação por tamanho de efeito é informativa. A fadiga física tem o maior dz, +1,71, com aumento de +3,39 ponto; o vigor vem em seguida, com −1,15 e queda de −3,46; depois a fadiga do BRUMS, com +0,94. A tensão e a confusão mudam na direção favorável, com dz de −0,65 e −0,50. Depressão, raiva e fadiga mental não mudam. Todas as comparações usam os mesmos 21 atletas, que são os que responderam nos dois dias.</w:t>
      </w:r>
    </w:p>
    <w:p>
      <w:pPr>
        <w:spacing w:line="240" w:lineRule="auto" w:after="80"/>
        <w:ind w:firstLine="709"/>
        <w:jc w:val="both"/>
      </w:pPr>
      <w:r>
        <w:rPr>
          <w:rFonts w:ascii="Times New Roman" w:hAnsi="Times New Roman"/>
          <w:b w:val="0"/>
          <w:i w:val="0"/>
          <w:color w:val="000000"/>
          <w:sz w:val="24"/>
        </w:rPr>
        <w:t>A perturbação total do humor merece nota separada. Ela sobe +5,73 pontos, o maior aumento absoluto do conjunto, mas com dz de apenas +0,52 e intervalo largo, de [+1,37; +10,41]. A razão é que ela soma seis subescalas e herda a variância de todas, entre elas as quatro que não mudam. O escore composto é, por isso, o menos sensível dos indicadores desta semana, apesar de ser o mais usado, e as subescalas isoladas do eixo energético descrevem melhor o que aconteceu.</w:t>
      </w:r>
    </w:p>
    <w:p>
      <w:pPr>
        <w:spacing w:line="240" w:lineRule="auto" w:after="80"/>
        <w:ind w:firstLine="709"/>
        <w:jc w:val="both"/>
      </w:pPr>
      <w:r>
        <w:rPr>
          <w:rFonts w:ascii="Times New Roman" w:hAnsi="Times New Roman"/>
          <w:b w:val="0"/>
          <w:i w:val="0"/>
          <w:color w:val="000000"/>
          <w:sz w:val="24"/>
        </w:rPr>
        <w:t>No painel B, a leitura é mais sóbria e precisa ser dita com clareza. De todos os seis perfis, apenas a barbatana de tubarão tem diferença cujo intervalo não contém o zero: ela sobe +26,1 pontos percentuais, com intervalo de [+10,5; +41,7]. A queda do perfil iceberg, de −16,4 pontos, é grande em magnitude mas tem intervalo de [−35,4; +4,6], que contém o zero. Com 27 atletas e prevalências de ordem intermediária, o estudo não tem precisão para afirmar que a queda do iceberg é diferente de zero, e este texto não a afirma.</w:t>
      </w:r>
    </w:p>
    <w:p>
      <w:pPr>
        <w:spacing w:line="240" w:lineRule="auto" w:after="80"/>
        <w:ind w:firstLine="709"/>
        <w:jc w:val="both"/>
      </w:pPr>
      <w:r>
        <w:rPr>
          <w:rFonts w:ascii="Times New Roman" w:hAnsi="Times New Roman"/>
          <w:b w:val="0"/>
          <w:i w:val="0"/>
          <w:color w:val="000000"/>
          <w:sz w:val="24"/>
        </w:rPr>
        <w:t>A assimetria entre os dois resultados tem explicação, e ela não é de conveniência. Uma proporção que parte de zero, como a barbatana de tubarão no dia 1, tem variância nula na partida, e por isso qualquer aumento é estimado com precisão alta. Uma proporção que parte de perto de 40%, como o iceberg, está na região de variância máxima da distribuição binomial, e o intervalo é largo por construção. A conclusão sustentada, portanto, é a do ganho da barbatana de tubarão, e a queda do iceberg é o complemento aritmético dela, coerente com os dados mas sem sustentação inferencial própria.</w:t>
      </w:r>
    </w:p>
    <w:p>
      <w:pPr>
        <w:pStyle w:val="Heading2"/>
      </w:pPr>
      <w:r>
        <w:t>4.9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73,8% das observações como perfil iceberg, contra 38,1%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apenas 11,9% das observações, isto é, cerca de uma em cada oito. O valor está bem abaixo dos 26,5% relatados na única amostra brasileira classificada pelos mesmos seis perfis, com 898 atletas de elite e de base de um clube do Rio de Janeiro (Rohlfs, Noce e Wilke, 2024). A equipe começa a semana, portanto, em condição psicológica melhor que a da referência nacional disponível, o que é o esperado de um dia de repouso e reforça que o dia 1 funciona como linha de base. A comparação tem ressalvas: a amostra brasileira reúne os dois sexos,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11,9% para 34,8% das observações, um ganho de 22,9 pontos percentuais, que quase triplica a proporção inicial e ultrapassa os 26,5% da amostra brasileira de referência. O aumento não se distribui pelos três perfis de risco: ele se concentra na barbatana de tubarão, que salta de 0,0% para 26,1% e se torna o perfil mais frequente do último dia. Os outros dois perfis de risco, iceberg invertido e Everest invertido, recuam. Convém registrar desde já o que a seção 4.8 estabelece: das seis mudanças de prevalência entre as duas pontas, apenas a da barbatana de tubarão tem intervalo de confiança que não contém o zero. A queda do iceberg é grande, é coerente com todas as outras análises deste estudo, e ainda assim não é, isoladamente, distinguível de zero com 27 atletas.</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7,78 para 4,39 e fadiga em alta de 3,52 para 7,34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38,1% para 21,7%, a neutra sobe de 50,0% para 43,5% e a de risco sobe de 11,9% para 34,8%. As três se movem na mesma direção: perda de prontidão com ganho de risco. Duas versões anteriores desta análise usaram séries de classificação de terceiros, uma delas com regra não declarada, e chegaram a valores distintos destes. A classificação aqui reportada é calculada da base bruta pelo procedimento da seção 3.7, e a comparação entre as três séries está registrada em AUDITORIA_PERFIS_HUMOR. A direção do achado é a mesma nas três; o que muda é a magnitude.</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4.5.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A decomposição da seção 4.7 confirma essa leitura por outro caminho e acrescenta o contraste que lhe dá força. Das seis séries de perfil, apenas a barbatana de tubarão tem tendência linear cujo intervalo não contém o zero, com +3,38 pontos percentuais por dia e R² de 0,77, ao passo que o perfil iceberg tem R² de 0,03 e inclinação indistinguível de zero. Os dois perfis que dominam a semana não têm a mesma dinâmica: um cresce por acúmulo regular, o outro desaba de uma vez. A consequência prática separa-se na mesma linha. Uma tendência regular é projetável, e permite antecipar a prevalência da véspera a partir do meio da semana. Um degrau não é, e só se defende pela intervenção sobre o dia que o produz.</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O piso de ruído da série de Morgan vem do erro-padrão binomial e pressupõe independência entre atletas dentro do dia, o que é discutível em um elenco que convive; as bandas da seção 4.7 corrigem esse ponto, porque reamostram o atleta inteiro e não a observação isolada, e são por isso mais largas.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4,26 pontos; na véspera da estreia a fadiga supera o vigor em 2,94; e o cruzamento ocorre no dia 3,93,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0,0% para 26,1%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+3,35 ponto; a fadiga mental sobe +0,19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−1,28 ponto ao longo da semana, com variação acima do piso de ruído, e a confusão cai −0,51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49,8%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49,8% e 80,3%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4,8%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Esta equipe atravessa esse patamar no meio da semana: parte de 11,9% no dia de repouso, bem abaixo da referência, e chega a 34,8% na véspera, bem acima dela. O achado é mais informativo que uma coincidência de valores: ele mostra que uma semana de carga desloca um elenco de um extremo ao outro da faixa em que se distribuem os atletas brasileiros de um clube inteiro. Na segunda coorte, de 417 atletas de alto rendimento acompanhados ao longo de um ano, a barbatana de tubarão foi o perfil mais frequente, com 28,3% (Rohlfs e outros, 2025), valor próximo dos 26,1% do último dia desta série. A proximidade não é evidência, porque os delineamentos diferem: a coorte brasileira agrega medidas de doze meses e aqui o valor descreve um único dia. O que a comparação autoriza dizer é que o patamar alcançado por esta equipe na véspera da estreia se aproxima do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Seis limitações restringem a generalização. A primeira é o alcance da amostra: 27 atletas de uma única equipe, dos quais 19 completaram todas as coletas, ao longo de um único microciclo, o que concentra a observação em um momento particular da temporada e impede separar o efeito desta semana do efeito do ciclo preparatório que a antecedeu.</w:t>
      </w:r>
    </w:p>
    <w:p>
      <w:pPr>
        <w:spacing w:line="240" w:lineRule="auto" w:after="80"/>
        <w:ind w:firstLine="709"/>
        <w:jc w:val="both"/>
      </w:pPr>
      <w:r>
        <w:rPr>
          <w:rFonts w:ascii="Times New Roman" w:hAnsi="Times New Roman"/>
          <w:b w:val="0"/>
          <w:i w:val="0"/>
          <w:color w:val="000000"/>
          <w:sz w:val="24"/>
        </w:rPr>
        <w:t>A segunda é de procedimento de classificação. A atribuição ao centroide publicado mais próximo não reproduz a análise de agrupamento original, que derivou os agrupamentos dos próprios dados, e nenhuma amostra deste tamanho poderia derivá-los. A k-médias semeada, que é o procedimento das amostras grandes, foi calculada como sensibilidade e concorda em 81,6% das observações, mas desloca dois centroides em cerca de 20 pontos T, o que a seção 3.7 discute. A terceira é a padronização: a conversão para escore T foi feita sobre a própria amostra, na ausência de normas da modalidade, o que torna a linha de 50 uma referência interna e não populacional, e impede comparar estes escores T com os de estudos que padronizam contra normas de população.</w:t>
      </w:r>
    </w:p>
    <w:p>
      <w:pPr>
        <w:spacing w:line="240" w:lineRule="auto" w:after="80"/>
        <w:ind w:firstLine="709"/>
        <w:jc w:val="both"/>
      </w:pPr>
      <w:r>
        <w:rPr>
          <w:rFonts w:ascii="Times New Roman" w:hAnsi="Times New Roman"/>
          <w:b w:val="0"/>
          <w:i w:val="0"/>
          <w:color w:val="000000"/>
          <w:sz w:val="24"/>
        </w:rPr>
        <w:t>A quarta diz respeito à densidade desigual da coleta. O número de observações por dia varia de 42 a 94, e o de atletas de 20 a 27, porque a adesão caiu ao longo da semana e porque o número de coletas por dia não foi uniforme. O piso de ruído de cada série incorpora essa variação, mas ela reduz a precisão dos dias finais, que são justamente os de maior interesse. Quatro respostas foram descartadas por não identificarem o atleta, e uma por cair fora da janela de sete dias. A quinta limitação é que a amostra é masculina, o que impede extensão aos achados de sexo relatados na literatura. E a sexta é que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38,1% das observações, e os três perfis de risco somam 11,9%, valor quase idêntico ao da única amostra brasileira classificada pelo mesmo critério. Na véspera da competição o quadro se inverte: o iceberg cai para 21,7%, a barbatana de tubarão sobe de 0,0% para 26,1% e passa a dividir a primeira posição, e a faixa de risco alcança 34,8%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