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Saúde mental de atletas de handebol no treino e na competição: revisão de mapeamento</w:t>
      </w:r>
    </w:p>
    <w:p>
      <w:pPr>
        <w:pStyle w:val="Heading1"/>
      </w:pPr>
      <w:r>
        <w:t>Seções de Método e Resultados (versão de trabalho, 3 de outubro de 2026)</w:t>
      </w:r>
    </w:p>
    <w:p>
      <w:pPr>
        <w:spacing w:after="120"/>
      </w:pPr>
      <w:r>
        <w:t>Os trechos entre colchetes são lacunas que só a equipe pode preencher, porque a informação não consta dos arquivos usados nesta etapa: a estratégia de busca completa, a data da busca e os números das fases de identificação e triagem por título. Tudo o mais está apoiado nos arquivos da pasta `data/revisoes/handebol_saude_mental`.</w:t>
      </w:r>
    </w:p>
    <w:p>
      <w:pPr>
        <w:pStyle w:val="Heading1"/>
      </w:pPr>
      <w:r>
        <w:t>Método</w:t>
      </w:r>
    </w:p>
    <w:p>
      <w:pPr>
        <w:pStyle w:val="Heading2"/>
      </w:pPr>
      <w:r>
        <w:t>Desenho e protocolo</w:t>
      </w:r>
    </w:p>
    <w:p>
      <w:pPr>
        <w:spacing w:after="120"/>
      </w:pPr>
      <w:r>
        <w:t>Realizou-se uma revisão de mapeamento (scoping review) conduzida segundo o guia metodológico do Joanna Briggs Institute e relatada conforme a extensão PRISMA para revisões de escopo (PRISMA-ScR). O protocolo foi formulado pela estrutura população, conceito e contexto e definiu, originalmente, seis famílias de variáveis psicológicas: humor e afeto; ansiedade e estresse; motivação e autoeficácia; habilidades mentais e enfrentamento; sono, bem-estar e recuperação; burnout e saúde mental. [Informar se o protocolo foi registrado, em qual plataforma e sob qual número.]</w:t>
      </w:r>
    </w:p>
    <w:p>
      <w:pPr>
        <w:pStyle w:val="Heading2"/>
      </w:pPr>
      <w:r>
        <w:t>Questão de revisão</w:t>
      </w:r>
    </w:p>
    <w:p>
      <w:pPr>
        <w:spacing w:after="120"/>
      </w:pPr>
      <w:r>
        <w:t>Que evidências existem sobre a saúde mental de atletas e praticantes de handebol quando ela é medida, manipulada ou descrita no contexto do treinamento ou da competição, e com que populações, desenhos, instrumentos e contextos essa literatura foi produzida?</w:t>
      </w:r>
    </w:p>
    <w:p>
      <w:pPr>
        <w:pStyle w:val="Heading2"/>
      </w:pPr>
      <w:r>
        <w:t>Critérios de elegibilidade</w:t>
      </w:r>
    </w:p>
    <w:p>
      <w:pPr>
        <w:spacing w:after="120"/>
      </w:pPr>
      <w:r/>
      <w:r>
        <w:rPr>
          <w:b/>
        </w:rPr>
        <w:t>População.</w:t>
      </w:r>
      <w:r>
        <w:t xml:space="preserve"> Atletas ou praticantes de handebol de qualquer sexo, idade, nível competitivo ou variante da modalidade (quadra, praia, cadeira de rodas, surdos). Amostras multiesporte foram admitidas apenas quando os dados do handebol eram separáveis.</w:t>
      </w:r>
    </w:p>
    <w:p>
      <w:pPr>
        <w:spacing w:after="120"/>
      </w:pPr>
      <w:r/>
      <w:r>
        <w:rPr>
          <w:b/>
        </w:rPr>
        <w:t>Conceito.</w:t>
      </w:r>
      <w:r>
        <w:t xml:space="preserve"> O estudo mede, manipula ou descreve ao menos um desfecho de saúde mental, entendido em duas vertentes, em consonância com o consenso do Comitê Olímpico Internacional sobre saúde mental de atletas de elite (Reardon et al., 2019) e com o modelo de duplo contínuo (Keyes, 2002): (a) sintomas ou estados de sofrimento psíquico, como ansiedade traço, estado, competitiva ou de nova lesão, estresse e distresse percebidos, perturbação do humor, depressão, burnout e exaustão, distúrbios e qualidade do sono e desregulação emocional; (b) saúde mental positiva, como bem-estar psicológico, subjetivo ou mental e afeto positivo e negativo medidos como estado. Foram aceitos instrumentos de monitoramento que contêm subescalas ou itens de estresse, sono ou humor (Hooper, RESTQ-Sport, ARSS, SRSS, DALDA, PSQI), com a marcação "limítrofe" quando o desfecho de saúde mental era secundário ao objetivo do estudo. Não foram considerados desfechos de saúde mental, por si sós: motivação e seus correlatos (autodeterminação, metas de realização, clima motivacional, medo do fracasso, comprometimento, abandono), autoeficácia, autoconfiança e eficácia coletiva, coesão e liderança, habilidades psicológicas e perfis de rendimento (CPRD, IPED, teste de Loehr, dureza mental, resiliência, otimismo, hardiness), imagética, autodiálogo e treino mental com desfecho apenas técnico, enfrentamento sem medida de estresse, flow, fadiga mental, agressividade, recuperação percebida exclusivamente física (TQR, PRSS) e diversão ou prazer esportivo sem medida de afeto ou bem-estar.</w:t>
      </w:r>
    </w:p>
    <w:p>
      <w:pPr>
        <w:spacing w:after="120"/>
      </w:pPr>
      <w:r/>
      <w:r>
        <w:rPr>
          <w:b/>
        </w:rPr>
        <w:t>Contexto.</w:t>
      </w:r>
      <w:r>
        <w:t xml:space="preserve"> A medida precisava estar situada no treinamento ou na competição, o que abrangeu carga, temporada, microciclo, concentração, jogo e campeonato, e também o treino domiciliar durante o isolamento pela COVID-19. Foram excluídos a psicometria pura (validação de instrumento), a seleção de talentos fora do treino e da competição e as populações clínicas em que o handebol é apenas o mecanismo da lesão.</w:t>
      </w:r>
    </w:p>
    <w:p>
      <w:pPr>
        <w:spacing w:after="120"/>
      </w:pPr>
      <w:r/>
      <w:r>
        <w:rPr>
          <w:b/>
        </w:rPr>
        <w:t>Tipo de fonte e período.</w:t>
      </w:r>
      <w:r>
        <w:t xml:space="preserve"> Artigos originais, revisões, cartas com dados e capítulos com dados primários, sem restrição de data ou idioma. Preprints foram mantidos e identificados como tal.</w:t>
      </w:r>
    </w:p>
    <w:p>
      <w:pPr>
        <w:pStyle w:val="Heading2"/>
      </w:pPr>
      <w:r>
        <w:t>Fontes de informação e estratégia de busca</w:t>
      </w:r>
    </w:p>
    <w:p>
      <w:pPr>
        <w:spacing w:after="120"/>
      </w:pPr>
      <w:r>
        <w:t>[Informar as bases consultadas (por exemplo PubMed, Scopus, Web of Science e BVS/LILACS), a data da busca e a estratégia completa de cada base, com os termos de população ("handball", "team handball", "balonmano", "handebol") e os termos de conceito das seis famílias.] A presença de registros LILACS em português e espanhol no conjunto final indica que a busca cobriu a Biblioteca Virtual em Saúde além das bases internacionais.</w:t>
      </w:r>
    </w:p>
    <w:p>
      <w:pPr>
        <w:pStyle w:val="Heading2"/>
      </w:pPr>
      <w:r>
        <w:t>Seleção das fontes de evidência</w:t>
      </w:r>
    </w:p>
    <w:p>
      <w:pPr>
        <w:spacing w:after="120"/>
      </w:pPr>
      <w:r>
        <w:t>A seleção ocorreu em cinco etapas, descritas no fluxograma (Figura 1).</w:t>
      </w:r>
    </w:p>
    <w:p>
      <w:pPr>
        <w:pStyle w:val="ListNumber"/>
      </w:pPr>
      <w:r/>
      <w:r>
        <w:rPr>
          <w:b/>
        </w:rPr>
        <w:t>Triagem por título e por resumo contra o protocolo das seis famílias.</w:t>
      </w:r>
      <w:r>
        <w:t xml:space="preserve"> [Informar o número de registros identificados, o número após remoção de duplicatas e o número excluído por título.] Dos 211 registros avaliados por resumo, 28 foram excluídos (duplicatas e preprints de artigos já incluídos, capítulos, revisões e resumos de congresso, população clínica, seleção de talentos, privação de sono em laboratório, variáveis psicológicas gerais sem vínculo com treino ou competição, e um estudo de captação de filiados) e 183 foram mantidos. Em paralelo, 16 registros oriundos de outra fonte de busca já haviam sido confirmados em leitura de texto completo.</w:t>
      </w:r>
    </w:p>
    <w:p>
      <w:pPr>
        <w:pStyle w:val="ListNumber"/>
      </w:pPr>
      <w:r/>
      <w:r>
        <w:rPr>
          <w:b/>
        </w:rPr>
        <w:t>Aplicação do critério de saúde mental.</w:t>
      </w:r>
      <w:r>
        <w:t xml:space="preserve"> Os 183 registros mantidos e os 16 confirmados foram reavaliados contra o critério operacional descrito acima, a partir das descrições e resumos já registrados. Cada decisão recebeu uma justificativa escrita. Os casos cuja decisão dependia de informação ausente ficaram marcados para verificação.</w:t>
      </w:r>
    </w:p>
    <w:p>
      <w:pPr>
        <w:pStyle w:val="ListNumber"/>
      </w:pPr>
      <w:r/>
      <w:r>
        <w:rPr>
          <w:b/>
        </w:rPr>
        <w:t>Verificação por resumo real.</w:t>
      </w:r>
      <w:r>
        <w:t xml:space="preserve"> Para todos os registros que seguiram para o texto completo, e para os marcados para verificação, o resumo real foi consultado nas bases abertas (Semantic Scholar, Crossref, Europe PMC, OpenAlex, PubMed) e nos sítios dos periódicos. Essa etapa também recuperou autores e periódicos ausentes em oito registros.</w:t>
      </w:r>
    </w:p>
    <w:p>
      <w:pPr>
        <w:pStyle w:val="ListNumber"/>
      </w:pPr>
      <w:r/>
      <w:r>
        <w:rPr>
          <w:b/>
        </w:rPr>
        <w:t>Leitura do texto completo.</w:t>
      </w:r>
      <w:r>
        <w:t xml:space="preserve"> O texto completo em acesso aberto foi obtido pelas rotas Europe PMC, Semantic Scholar e sítios dos periódicos, com conferência do título de cada arquivo contra o registro. Quando o texto completo não estava disponível em acesso aberto, a leitura baseou-se no resumo real e a ficha foi assim identificada.</w:t>
      </w:r>
    </w:p>
    <w:p>
      <w:pPr>
        <w:pStyle w:val="ListNumber"/>
      </w:pPr>
      <w:r/>
      <w:r>
        <w:rPr>
          <w:b/>
        </w:rPr>
        <w:t>Decisão final.</w:t>
      </w:r>
      <w:r>
        <w:t xml:space="preserve"> Cada registro recebeu uma das decisões: ENTRA, ENTRA (limítrofe), NÃO ENTRA (limítrofe) ou NÃO ENTRA, com justificativa citando instrumento, momento da medida e seção do texto.</w:t>
      </w:r>
    </w:p>
    <w:p>
      <w:pPr>
        <w:spacing w:after="120"/>
      </w:pPr>
      <w:r>
        <w:t>A triagem e a extração foram realizadas por um agente de inteligência artificial (Claude, Anthropic), com regras de decisão escritas e aplicadas de forma uniforme, e todas as decisões foram registradas com justificativa em arquivos auditáveis. [Informar quantos revisores humanos conferiram as decisões, em que proporção da amostra e como os desacordos foram resolvidos.] As decisões do agente são tratadas como sugestão à triagem humana do fluxo do laboratório, que prevê dois avaliadores e consolidação de conflitos.</w:t>
      </w:r>
    </w:p>
    <w:p>
      <w:pPr>
        <w:pStyle w:val="Heading2"/>
      </w:pPr>
      <w:r>
        <w:t>Extração dos dados</w:t>
      </w:r>
    </w:p>
    <w:p>
      <w:pPr>
        <w:spacing w:after="120"/>
      </w:pPr>
      <w:r>
        <w:t>Os dados foram extraídos com um formulário único, testado nos primeiros registros, contendo: país, desenho, tamanho da amostra, sexo, idade, nível competitivo, variante da modalidade, contexto da medida, cada variável de saúde mental com instrumento e momento de aplicação, demais variáveis, família do protocolo, resultados sobre saúde mental, decisão e justificativa, e a limitação mais relevante para a revisão. A extração foi feita a partir do texto completo quando disponível e do resumo real nos demais casos.</w:t>
      </w:r>
    </w:p>
    <w:p>
      <w:pPr>
        <w:pStyle w:val="Heading2"/>
      </w:pPr>
      <w:r>
        <w:t>Síntese</w:t>
      </w:r>
    </w:p>
    <w:p>
      <w:pPr>
        <w:spacing w:after="120"/>
      </w:pPr>
      <w:r>
        <w:t>Os resultados foram sintetizados de forma descritiva e tabular, por ano de publicação, país, desenho, características da amostra, contexto, família de desfecho e instrumento, seguidos de uma síntese narrativa dos achados por família e da identificação das lacunas de pesquisa. Não foi feita avaliação formal do risco de viés, conforme é facultativo em revisões de escopo.</w:t>
      </w:r>
    </w:p>
    <w:p>
      <w:pPr>
        <w:pStyle w:val="Heading1"/>
      </w:pPr>
      <w:r>
        <w:t>Resultados</w:t>
      </w:r>
    </w:p>
    <w:p>
      <w:pPr>
        <w:pStyle w:val="Heading2"/>
      </w:pPr>
      <w:r>
        <w:t>Seleção das fontes</w:t>
      </w:r>
    </w:p>
    <w:p>
      <w:pPr>
        <w:spacing w:after="120"/>
      </w:pPr>
      <w:r>
        <w:t>Dos 211 registros avaliados por resumo, 183 atenderam ao protocolo das seis famílias. A aplicação do critério de saúde mental excluiu 85 deles (74 por ausência de desfecho de saúde mental e 11 por apresentarem construto afetivo sem medida de saúde mental), e 98 seguiram para a fase de texto completo. O texto completo em acesso aberto foi obtido para 49 registros; os outros 49 foram lidos pelo resumo real, porque estão em editoras de acesso restrito ou em sítios que impedem a obtenção automática. Após a leitura, 4 registros foram excluídos (um instrumento que mede temperamento e não humor; um inventário de eventos de vida usado apenas como fator de risco; um teste projetivo de cores sem situação de treino ou competição; e um escore de "wellness" operacionalizado só como fadiga) e 94 foram incluídos, 62 como ENTRA e 32 como ENTRA (limítrofe). Onze registros mudaram de decisão entre a triagem por resumo e a leitura, sete deles para a categoria limítrofe. Dos 16 registros previamente confirmados em texto completo, 7 atenderam ao critério de saúde mental e 9 não; esses 7 ainda não passaram pela extração padronizada e serão incorporados à tabela na próxima versão.</w:t>
      </w:r>
    </w:p>
    <w:p>
      <w:pPr>
        <w:spacing w:after="120"/>
      </w:pPr>
      <w:r/>
      <w:r>
        <w:rPr>
          <w:b/>
        </w:rPr>
        <w:t>Tabela 1. Fluxo da seleção</w:t>
      </w:r>
      <w:r/>
    </w:p>
    <w:tbl>
      <w:tblPr>
        <w:tblStyle w:val="LightGrid-Accent1"/>
        <w:tblW w:type="auto" w:w="0"/>
        <w:tblLook w:firstColumn="1" w:firstRow="1" w:lastColumn="0" w:lastRow="0" w:noHBand="0" w:noVBand="1" w:val="04A0"/>
      </w:tblPr>
      <w:tblGrid>
        <w:gridCol w:w="4703"/>
        <w:gridCol w:w="4703"/>
      </w:tblGrid>
      <w:tr>
        <w:tc>
          <w:tcPr>
            <w:tcW w:type="dxa" w:w="4703"/>
          </w:tcPr>
          <w:p>
            <w:r/>
            <w:r>
              <w:rPr>
                <w:b/>
              </w:rPr>
              <w:t>Etapa</w:t>
            </w:r>
          </w:p>
        </w:tc>
        <w:tc>
          <w:tcPr>
            <w:tcW w:type="dxa" w:w="4703"/>
          </w:tcPr>
          <w:p>
            <w:r/>
            <w:r>
              <w:rPr>
                <w:b/>
              </w:rPr>
              <w:t>Registros</w:t>
            </w:r>
          </w:p>
        </w:tc>
      </w:tr>
      <w:tr>
        <w:tc>
          <w:tcPr>
            <w:tcW w:type="dxa" w:w="4703"/>
          </w:tcPr>
          <w:p>
            <w:r>
              <w:t>Avaliados por resumo (protocolo das seis famílias)</w:t>
            </w:r>
          </w:p>
        </w:tc>
        <w:tc>
          <w:tcPr>
            <w:tcW w:type="dxa" w:w="4703"/>
          </w:tcPr>
          <w:p>
            <w:r>
              <w:t>211</w:t>
            </w:r>
          </w:p>
        </w:tc>
      </w:tr>
      <w:tr>
        <w:tc>
          <w:tcPr>
            <w:tcW w:type="dxa" w:w="4703"/>
          </w:tcPr>
          <w:p>
            <w:r>
              <w:t>Excluídos por resumo</w:t>
            </w:r>
          </w:p>
        </w:tc>
        <w:tc>
          <w:tcPr>
            <w:tcW w:type="dxa" w:w="4703"/>
          </w:tcPr>
          <w:p>
            <w:r>
              <w:t>28</w:t>
            </w:r>
          </w:p>
        </w:tc>
      </w:tr>
      <w:tr>
        <w:tc>
          <w:tcPr>
            <w:tcW w:type="dxa" w:w="4703"/>
          </w:tcPr>
          <w:p>
            <w:r>
              <w:t>Mantidos pelas seis famílias</w:t>
            </w:r>
          </w:p>
        </w:tc>
        <w:tc>
          <w:tcPr>
            <w:tcW w:type="dxa" w:w="4703"/>
          </w:tcPr>
          <w:p>
            <w:r>
              <w:t>183</w:t>
            </w:r>
          </w:p>
        </w:tc>
      </w:tr>
      <w:tr>
        <w:tc>
          <w:tcPr>
            <w:tcW w:type="dxa" w:w="4703"/>
          </w:tcPr>
          <w:p>
            <w:r>
              <w:t>Excluídos pelo critério de saúde mental</w:t>
            </w:r>
          </w:p>
        </w:tc>
        <w:tc>
          <w:tcPr>
            <w:tcW w:type="dxa" w:w="4703"/>
          </w:tcPr>
          <w:p>
            <w:r>
              <w:t>85</w:t>
            </w:r>
          </w:p>
        </w:tc>
      </w:tr>
      <w:tr>
        <w:tc>
          <w:tcPr>
            <w:tcW w:type="dxa" w:w="4703"/>
          </w:tcPr>
          <w:p>
            <w:r>
              <w:t>Enviados ao texto completo</w:t>
            </w:r>
          </w:p>
        </w:tc>
        <w:tc>
          <w:tcPr>
            <w:tcW w:type="dxa" w:w="4703"/>
          </w:tcPr>
          <w:p>
            <w:r>
              <w:t>98</w:t>
            </w:r>
          </w:p>
        </w:tc>
      </w:tr>
      <w:tr>
        <w:tc>
          <w:tcPr>
            <w:tcW w:type="dxa" w:w="4703"/>
          </w:tcPr>
          <w:p>
            <w:r>
              <w:t>Texto completo obtido em acesso aberto</w:t>
            </w:r>
          </w:p>
        </w:tc>
        <w:tc>
          <w:tcPr>
            <w:tcW w:type="dxa" w:w="4703"/>
          </w:tcPr>
          <w:p>
            <w:r>
              <w:t>49</w:t>
            </w:r>
          </w:p>
        </w:tc>
      </w:tr>
      <w:tr>
        <w:tc>
          <w:tcPr>
            <w:tcW w:type="dxa" w:w="4703"/>
          </w:tcPr>
          <w:p>
            <w:r>
              <w:t>Lidos só pelo resumo real</w:t>
            </w:r>
          </w:p>
        </w:tc>
        <w:tc>
          <w:tcPr>
            <w:tcW w:type="dxa" w:w="4703"/>
          </w:tcPr>
          <w:p>
            <w:r>
              <w:t>49</w:t>
            </w:r>
          </w:p>
        </w:tc>
      </w:tr>
      <w:tr>
        <w:tc>
          <w:tcPr>
            <w:tcW w:type="dxa" w:w="4703"/>
          </w:tcPr>
          <w:p>
            <w:r>
              <w:t>Excluídos após leitura</w:t>
            </w:r>
          </w:p>
        </w:tc>
        <w:tc>
          <w:tcPr>
            <w:tcW w:type="dxa" w:w="4703"/>
          </w:tcPr>
          <w:p>
            <w:r>
              <w:t>4</w:t>
            </w:r>
          </w:p>
        </w:tc>
      </w:tr>
      <w:tr>
        <w:tc>
          <w:tcPr>
            <w:tcW w:type="dxa" w:w="4703"/>
          </w:tcPr>
          <w:p>
            <w:r>
              <w:t>Incluídos (ENTRA 62; ENTRA limítrofe 32)</w:t>
            </w:r>
          </w:p>
        </w:tc>
        <w:tc>
          <w:tcPr>
            <w:tcW w:type="dxa" w:w="4703"/>
          </w:tcPr>
          <w:p>
            <w:r>
              <w:t>94</w:t>
            </w:r>
          </w:p>
        </w:tc>
      </w:tr>
      <w:tr>
        <w:tc>
          <w:tcPr>
            <w:tcW w:type="dxa" w:w="4703"/>
          </w:tcPr>
          <w:p>
            <w:r>
              <w:t>Confirmados em fluxo paralelo que atendem ao critério (extração pendente)</w:t>
            </w:r>
          </w:p>
        </w:tc>
        <w:tc>
          <w:tcPr>
            <w:tcW w:type="dxa" w:w="4703"/>
          </w:tcPr>
          <w:p>
            <w:r>
              <w:t>7</w:t>
            </w:r>
          </w:p>
        </w:tc>
      </w:tr>
    </w:tbl>
    <w:p/>
    <w:p>
      <w:pPr>
        <w:pStyle w:val="Heading2"/>
      </w:pPr>
      <w:r>
        <w:t>Características dos estudos incluídos</w:t>
      </w:r>
    </w:p>
    <w:p>
      <w:pPr>
        <w:spacing w:after="120"/>
      </w:pPr>
      <w:r>
        <w:t>A produção é recente: 83 dos 94 estudos foram publicados a partir de 2015 e 51 a partir de 2021, com 10 publicações em 2024, 12 em 2025 e 10 em 2026 (até a data da busca). O estudo mais antigo é de 1994 e o segundo, de 2007.</w:t>
      </w:r>
    </w:p>
    <w:p>
      <w:pPr>
        <w:spacing w:after="120"/>
      </w:pPr>
      <w:r>
        <w:t>O país da amostra pôde ser identificado em 60 estudos. A Espanha (10) e o Brasil (9) lideram, seguidos de Tunísia (6), Ucrânia (5), Alemanha (4) e Noruega (3); Portugal, Dinamarca, Chile, Japão, Eslovênia e Turquia aparecem com dois estudos cada, e Costa Rica, México, Letônia, Iraque, Chipre do Norte, Romênia, Itália, Irã, China, Bósnia e Herzegovina e Croácia com um. A concentração ibero-americana reflete em parte a cobertura da busca em português e espanhol.</w:t>
      </w:r>
    </w:p>
    <w:p>
      <w:pPr>
        <w:spacing w:after="120"/>
      </w:pPr>
      <w:r>
        <w:t>Quanto ao desenho, 34 estudos são transversais, 29 longitudinais observacionais (monitoramento ao longo de semanas, microciclos ou temporada), 22 experimentais ou de intervenção, dos quais apenas 4 ensaios randomizados, 2 qualitativos e 1 misto; em 2 o desenho não pôde ser determinado pelo resumo. As amostras são pequenas: a mediana é de 32 participantes (mínimo 6, máximo 522), e 16 estudos têm 150 ou mais participantes. Trinta estudos avaliaram só mulheres, 21 só homens e 24 ambos os sexos; em 19 o sexo não foi informado no resumo. O nível competitivo predominante é o de elite ou seleção (30), seguido de juvenil federado (21), profissional (10), amador (6), universitário (4) e semiprofissional (3); dois estudos envolvem praticantes recreativos ou iniciantes e dois, handebol adaptado. O handebol de quadra responde por 86 estudos; o handebol de praia por 4, o handebol em cadeira de rodas por 2 e o handebol para surdos por 1; um estudo multiesporte apresentou dados separáveis do handebol.</w:t>
      </w:r>
    </w:p>
    <w:p>
      <w:pPr>
        <w:pStyle w:val="Heading2"/>
      </w:pPr>
      <w:r>
        <w:t>Contextos da medida</w:t>
      </w:r>
    </w:p>
    <w:p>
      <w:pPr>
        <w:spacing w:after="120"/>
      </w:pPr>
      <w:r>
        <w:t>As medidas foram situadas sobretudo no treino (45 estudos), em acompanhamento longitudinal de temporada, microciclos ou períodos de concentração (34) e na competição ou na sua véspera (28); 9 estudos usaram tarefas experimentais de arremesso ou corrida sob condições manipuladas. Entre os contextos específicos destacam-se o jejum do Ramadã durante o período de treino (5 estudos tunisianos), o isolamento pela COVID-19 com treino domiciliar (2), acampamentos e concentrações de seleções (3), semanas congestionadas de jogos (1) e jogos em casa e fora (2).</w:t>
      </w:r>
    </w:p>
    <w:p>
      <w:pPr>
        <w:pStyle w:val="Heading2"/>
      </w:pPr>
      <w:r>
        <w:t>Famílias de desfecho e instrumentos</w:t>
      </w:r>
    </w:p>
    <w:p>
      <w:pPr>
        <w:spacing w:after="120"/>
      </w:pPr>
      <w:r>
        <w:t>Ansiedade e estresse é a família mais frequente (47 estudos), seguida de sono, bem-estar e recuperação (40), humor e afeto (18) e burnout e saúde mental (10); 21 estudos cobrem mais de uma família.</w:t>
      </w:r>
    </w:p>
    <w:p>
      <w:pPr>
        <w:spacing w:after="120"/>
      </w:pPr>
      <w:r>
        <w:t>Na ansiedade e estresse, o instrumento mais usado é o Competitive State Anxiety Inventory-2 e sua versão revisada (CSAI-2 e CSAI-2R, 16 estudos), seguido da Sport Anxiety Scale (SAS e SAS-2, 3), do Sport Competition Anxiety Test (SCAT, 2), do State-Trait Anxiety Inventory (2), do Inventário de Ansiedade de Beck (2), do Re-Injury Anxiety Inventory (1) e de medidas de estresse percebido ou de sintomas de estresse (escalas de estresse percebido, 8; DALDA, 2; lista de sintomas de estresse pré-competitivo, 1; Inventário de Sintomas de Stress de Lipp, 1). Na família sono, bem-estar e recuperação, predominam o questionário ou índice de Hooper (7), o Pittsburgh Sleep Quality Index (6, dois deles com o Índice de Gravidade de Insônia e a Escala de Sonolência de Epworth), o RESTQ-Sport (3), as escalas de recuperação e estresse ARSS e SRSS (2) e escalas de bem-estar psicológico, subjetivo ou mental, incluindo o questionário de bem-estar de Hooper e questionários customizados (cerca de 20 estudos mencionam bem-estar); três estudos mediram o sono de forma objetiva, com anéis ou pulseiras. No humor e afeto, o Profile of Mood States (POMS) é quase exclusivo (10 estudos), com o PANAS e escalas de afeto em 3. No burnout, usam-se o Athlete Burnout Questionnaire (1), o Inventário de Burnout de Atletas revisado (1) e o inventário de burnout emocional de Boyko (2); a Depression Anxiety Stress Scales-21 aparece em um único estudo, que é também o único a medir depressão com instrumento específico.</w:t>
      </w:r>
    </w:p>
    <w:p>
      <w:pPr>
        <w:pStyle w:val="Heading2"/>
      </w:pPr>
      <w:r>
        <w:t>Síntese dos achados por família</w:t>
      </w:r>
    </w:p>
    <w:p>
      <w:pPr>
        <w:spacing w:after="120"/>
      </w:pPr>
      <w:r/>
      <w:r>
        <w:rPr>
          <w:b/>
        </w:rPr>
        <w:t>Ansiedade e estresse.</w:t>
      </w:r>
      <w:r>
        <w:t xml:space="preserve"> O achado mais consistente é a diferença entre sexos: as mulheres relatam mais ansiedade competitiva e de desempenho do que os homens em seis estudos de níveis e países distintos (Abrahamsen, 2008; Gutiérrez Vargas, 2013; Kristjánsdóttir, 2018; Ivaskevych, 2019; De la Rubia, 2025; Greblo Jurakić, 2026), sem diferença em um (Do Nascimento, 2023). O ambiente criado pelo treinador modula a ansiedade: o comportamento controlador prediz ansiedade estado e somática e a coesão a reduz (Wang, 2024); o clima de envolvimento no ego eleva a ansiedade por meio do medo do fracasso, enquanto o clima de tarefa se associa a menos sintomas de ansiedade, depressão e estresse (Gómez-López, 2020; Greblo Jurakić, 2026). A ansiedade sobe da pausa da temporada para a véspera de jogo decisivo, com repercussão periodontal (Ulkar, 2012), e os níveis descritos em jovens e em seleções são, em geral, baixos a moderados. O estresse percebido semanal acompanha a carga de treino e competição e o cortisol, embora com associações fracas a moderadas (Drole, 2024), e sobe imediatamente após sessões intensas (Bauer, 2024; Klatt, 2021). Seis estudos de intervenção reduziram a ansiedade ou o estresse: feedback em vídeo aos treinadores (Meeûs, 2010), biofeedback de variabilidade da frequência cardíaca (Silva, 2016), programa de compaixão e aceitação (Carraça, 2025), neurofeedback SMR (Lepir, 2025), imagética funcional (Norouzi, 2025) e hipnose (Yüksel, 2025), todos com amostras de 10 a 36 atletas.</w:t>
      </w:r>
    </w:p>
    <w:p>
      <w:pPr>
        <w:spacing w:after="120"/>
      </w:pPr>
      <w:r/>
      <w:r>
        <w:rPr>
          <w:b/>
        </w:rPr>
        <w:t>Humor e afeto.</w:t>
      </w:r>
      <w:r>
        <w:t xml:space="preserve"> O humor medido pelo POMS mostrou-se estável ao longo de temporadas inteiras em dois estudos de monitoramento (Bresciani, 2010; Padilhas, 2018), com aumento apenas da fadiga subjetiva em períodos de carga, e pouca sensibilidade para antecipar mudanças no desempenho físico (Buchheit, 2015). Os estados de humor negativos são maiores pela manhã do que à noite (Essid, 2022) e na fase menstrual em comparação com as fases lútea e folicular (Ghazel, 2022; Lisenchuk, 2019). O humor é mais positivo após vitória do que após treino, com custo para a memória (Lagner, 2015). A suplementação com néctar de Syzygium cumini reduziu a perturbação do humor em 28 dias de treino (De Sousa Assunção Carvalho, 2018), e o feedback negativo em tarefa de arremesso reduziu o afeto positivo (Soto, 2020), sem efeito em outro experimento com jogadoras profissionais (García-Herrero, 2022).</w:t>
      </w:r>
    </w:p>
    <w:p>
      <w:pPr>
        <w:spacing w:after="120"/>
      </w:pPr>
      <w:r/>
      <w:r>
        <w:rPr>
          <w:b/>
        </w:rPr>
        <w:t>Sono, bem-estar e recuperação.</w:t>
      </w:r>
      <w:r>
        <w:t xml:space="preserve"> O jejum do Ramadã piora de forma consistente a qualidade do sono medida pelo PSQI, com escores globais que passam de cerca de 2 antes do jejum para 6 a 8 na última semana e retornam parcialmente após (Bougrine, 2023, 2024; Guembri, 2024), além de aumentar a sonolência diurna (Graja, 2021). O sono objetivo é mais longo após jogos em casa do que em dias de descanso e mais curto antes de jogos fora (Font, 2025; Henze, 2026). O índice de Hooper deteriora-se ao longo de competições de vários dias (Lara Cobos, 2024) e nos dois dias seguintes a partidas oficiais, mais nas pontas e nas titulares (García-Sánchez, 2025), e é melhor em semanas congestionadas do que em semanas normais, pela redução da carga de treino (Clemente, 2019). O confinamento pela COVID-19 reduziu a qualidade do sono dos profissionais homens e aumentou as horas de sono (Mon-López, 2020) e reduziu o bem-estar psicológico de jogadoras de seleção (Suárez-Iglesias, 2023). Um fim de semana de repouso passivo reduziu os sintomas de estresse do DALDA (Leme, 2015), e doze semanas de handebol recreativo aumentaram a energia percebida de mulheres destreinadas (Hornstrup, 2018) e a qualidade do sono de universitários (Tomar, 2021). Um programa de flow baseado em mindfulness melhorou o bem-estar mental de 105 atletas de elite (Martiny, 2024).</w:t>
      </w:r>
    </w:p>
    <w:p>
      <w:pPr>
        <w:spacing w:after="120"/>
      </w:pPr>
      <w:r/>
      <w:r>
        <w:rPr>
          <w:b/>
        </w:rPr>
        <w:t>Burnout e saúde mental.</w:t>
      </w:r>
      <w:r>
        <w:t xml:space="preserve"> O perfil de maior burnout aos 14 a 18 anos previu o abandono do handebol seis anos depois em 458 jovens de centros de treinamento (Isoard-Gautheur, 2016). O burnout aumentou em todas as dimensões após dez dias de acampamento da seleção infantil, ainda que com variações de 0,1 a 0,2 ponto (Santos-Afonso, 2023), e é maior nas fases menstrual, ovulatória e pré-menstrual em jogadoras profissionais (Korobeynikov, 2019). O comprometimento esportivo associa-se a menos exaustão emocional em jovens de seleções regionais (González-Hernández, 2021). Os relatos qualitativos de jovens de seleções norueguesas descrevem o modelo de desenvolvimento como exaustivo, com perda de motivação e burnout entre os que não chegaram ao nível adulto (Bjørndal, 2018), e os de jogadores olímpicos descrevem a imprevisibilidade da pandemia como mentalmente exaustiva (Aase, 2025).</w:t>
      </w:r>
    </w:p>
    <w:p>
      <w:pPr>
        <w:pStyle w:val="Heading2"/>
      </w:pPr>
      <w:r>
        <w:t>Registros limítrofes</w:t>
      </w:r>
    </w:p>
    <w:p>
      <w:pPr>
        <w:spacing w:after="120"/>
      </w:pPr>
      <w:r>
        <w:t>Trinta e dois estudos foram incluídos como limítrofes. Em 21 deles o desfecho de saúde mental vem embutido em instrumento de monitoramento de carga, recuperação ou sono (Hooper, ARSS, SRSS, KEB, wellness, PSQI em estudos de Ramadã ou de cochilo) e é secundário ao objetivo do estudo; em 5 a medida foi feita em tarefa experimental de arremesso ou corrida e não em treino ou competição real (nºs 16, 28, 100, 128 e 195); em 4 trata-se de descrição qualitativa, de lista de fontes de estresse sem medida de nível ou de coleta em exame de saúde sem vínculo com treino ou competição (nºs 1, 56, 62 e 93, além do nº 168); e em 2 o instrumento é projetivo ou não descrito (nºs 85 e 99). Esses estudos documentam a presença de medidas de estresse, sono e bem-estar na rotina de monitoramento do handebol, mas contribuem pouco para a estimativa dos estados de saúde mental.</w:t>
      </w:r>
    </w:p>
    <w:p>
      <w:pPr>
        <w:pStyle w:val="Heading2"/>
      </w:pPr>
      <w:r>
        <w:t>Lacunas de conhecimento</w:t>
      </w:r>
    </w:p>
    <w:p>
      <w:pPr>
        <w:spacing w:after="120"/>
      </w:pPr>
      <w:r>
        <w:t>Cinco lacunas se destacam. Primeira, a depressão foi medida com instrumento específico em um único estudo, e nenhum estudo avaliou transtornos alimentares, uso de substâncias, ideação suicida ou procura de ajuda, que compõem o escopo do consenso do COI. Segunda, apenas quatro ensaios randomizados foram localizados, e as seis intervenções que reduziram ansiedade ou estresse têm amostras de 10 a 36 atletas, sem seguimento além de doze semanas. Terceira, o monitoramento longitudinal usa quase sempre instrumentos de item único ou de poucos itens (Hooper, SRSS), raramente validados para saúde mental, e só três estudos mediram o sono objetivamente. Quarta, as variantes da modalidade estão sub-representadas: quatro estudos em handebol de praia, dois em cadeira de rodas e um em surdos. Quinta, a cobertura geográfica concentra-se em Espanha, Brasil, Tunísia e Ucrânia, com ausência de estudos da África subsaariana e com um único estudo asiático de amostra ampla; em 34 estudos o país sequer pôde ser identificado pelo resumo, o que limita a leitura contextual dos achados.</w:t>
      </w:r>
    </w:p>
    <w:p>
      <w:pPr>
        <w:pStyle w:val="Heading2"/>
      </w:pPr>
      <w:r>
        <w:t>Observações sobre a base de evidência</w:t>
      </w:r>
    </w:p>
    <w:p>
      <w:pPr>
        <w:spacing w:after="120"/>
      </w:pPr>
      <w:r>
        <w:t>Dois pares de registros incluídos usam a mesma amostra em duas publicações e devem ser contados como um estudo na síntese quantitativa: os nºs 91 e 107 (479 jovens espanhóis) e 192 e 193 (16 jogadoras amadoras); o nº 195 é preprint cuja versão publicada (nº 196) não entrou por tratar só de prazer e necessidades psicológicas. Três registros são preprints (nºs 163, 190 e 195). Dois registros não têm resumo localizável em nenhuma base (nº 33, Journal of Health Sciences, 2014; nº 113, em russo, 2021) e permanecem incluídos pela descrição e pelo título.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