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MATERIAL SUPLEMENTAR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Perfil de humor de atletas de handebol na última semana da pré-temporada competitiva: sinal, ruído e sensibilidade dos marcadores</w:t>
      </w:r>
    </w:p>
    <w:p>
      <w:pPr>
        <w:spacing w:line="336" w:lineRule="auto"/>
        <w:jc w:val="both"/>
      </w:pPr>
      <w:r>
        <w:rPr>
          <w:rFonts w:ascii="Times New Roman" w:hAnsi="Times New Roman"/>
          <w:b w:val="0"/>
          <w:i w:val="0"/>
          <w:sz w:val="20"/>
        </w:rPr>
        <w:t>Este material reúne as análises complementares referidas no manuscrito principal, mantendo o mesmo conjunto de dados (27 atletas, 456 observações, coletas pré/pós). Atletas anonimizados (A01–A27).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S1. Estatística descritiva completa e distribuições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S1 – Estatística descritiva completa do humor e da fadiga na semana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M ± DP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Mediana [IIQ]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Mín.–Máx.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Ampl.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Assim.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% piso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Tensão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1,42 ± 1,82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1,0 [2,0]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+1,44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47%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Depressão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1,07 ± 2,45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 [1,0]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+3,54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66%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Raiva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1,67 ± 2,89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 [2,0]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+2,06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61%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Vigor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5,70 ± 3,32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6,0 [5,0]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9%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(BRUMS)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5,41 ± 4,04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4,0 [6,0]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10%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Confusão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0,52 ± 1,27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 [0,0]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+3,25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78%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4,39 ± 10,07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2,0 [11,0]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-12–52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+1,45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5,88 ± 2,46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6,0 [4,0]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-0,26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1%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mental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4,62 ± 2,85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5,0 [5,0]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+0,16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7%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S1 – Histogramas de distribuição das cinco variáveis centrais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2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_h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S2 – Diagramas de caixa por dia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21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S2. Tendência semanal (regressão linear)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S2 – Regressão linear ao longo da semana (coef./dia, R², 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Coef./dia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R²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Vigor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-0,270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0,026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0,0052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(BRUMS)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+0,409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0,040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&lt;0,001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+0,388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0,097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&lt;0,001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mental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+0,043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0,001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0,6038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+0,574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0,013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0,0511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S3 – Regressão linear de cada variável ao longo da semana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21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_re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S3. Comportamento da Perturbação Total do Humor (PTH/TMD)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S4 – Trajetória, resposta pré/pós por dia e distribuição da PTH/TMD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21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_tm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2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S4. Limites, derivadas e ponto de inflexão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S3 – Limites, amplitude do sinal, fração da escala, dose acumulada e ponto de inflexão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Mín.–Máx.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Ampl. sinal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% escala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Dose (AUC)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Inflexão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Vigor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17%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33,7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dia 4,1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(BRUMS)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3,39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17%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32,5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dia 3,7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3,30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33%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35,5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dia 4,1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mental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0–10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0,76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8%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27,3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n/d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-12–52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6,23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25,4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dia 3,5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S5 – Velocidade e aceleração por dia, para cada variável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deriv_ex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S5. Decomposição de generalizabilidade, mudança confiável e dimensionalidade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S4 – Facetas (traço/estado/ruído), fidedignidade (ICC, Φ), heterogeneidade do declínio (DP das inclinações), autocorrelação e mudança confiável (RCI)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Variável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%Traço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%Estado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%Ruído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ICC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Φ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DP incl.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ACF(1)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/>
                <w:i w:val="0"/>
                <w:sz w:val="16"/>
              </w:rPr>
              <w:t>%RCI</w:t>
            </w:r>
          </w:p>
        </w:tc>
      </w:tr>
      <w:tr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Vigor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51%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9%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40%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0,51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0,92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0,40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+0,01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14%</w:t>
            </w:r>
          </w:p>
        </w:tc>
      </w:tr>
      <w:tr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Fadiga BRUMS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54%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5%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41%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0,54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0,94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0,46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-0,08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19%</w:t>
            </w:r>
          </w:p>
        </w:tc>
      </w:tr>
      <w:tr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Fadiga física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33%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6%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60%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0,33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0,86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0,09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-0,27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10%</w:t>
            </w:r>
          </w:p>
        </w:tc>
      </w:tr>
      <w:tr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Fadiga mental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67%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3%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30%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0,67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0,96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0,11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-0,02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0%</w:t>
            </w:r>
          </w:p>
        </w:tc>
      </w:tr>
      <w:tr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PTH/TMD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55%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9%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36%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0,55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0,93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1,29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-0,05</w:t>
            </w:r>
          </w:p>
        </w:tc>
        <w:tc>
          <w:tcPr>
            <w:tcW w:type="dxa" w:w="1045"/>
          </w:tcPr>
          <w:p>
            <w:r>
              <w:rPr>
                <w:rFonts w:ascii="Times New Roman" w:hAnsi="Times New Roman"/>
                <w:b w:val="0"/>
                <w:i w:val="0"/>
                <w:sz w:val="16"/>
              </w:rPr>
              <w:t>14%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S6 – Decomposição em três facetas (estado, traço, ruído)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fac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S7 – Variância explicada pelos componentes principais (BRUMS)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p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S6. Modelo misto multivariado e correlações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S5 – Testes multivariados do efeito do microciclo (eixo energia–fadiga)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Teste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Estatística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Efeito conjunto do dia (LRT)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χ²(4) = 109,1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 &lt; 0,001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Hotelling T² (D1 vs D7)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F(4,17) = 18,17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 &lt; 0,001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 de Mahalanobis (D1→D7)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2,02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—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S8 – Correlações entre-atletas (traço)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505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trait_cor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S9 – Correlação intra-atleta (rmcorr)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5332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rmcor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33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S7. Análise fatorial confirmatória (6 fatores do BRUMS)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S6 – Índices de ajuste da AFC (estimação por máxima verossimilhança; 24 itens; observações aninhadas)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Índice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Valor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χ² (df)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923 (237)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CFI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0,864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TLI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0,842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RMSEA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0,080</w:t>
            </w:r>
          </w:p>
        </w:tc>
      </w:tr>
      <w:tr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SRMR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0,084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S8. Ajuste alométrico e normalização por massa e por pico de velocidade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S7 – Ajuste alométrico da trajetória de fadiga (Y = a·diaᵇ)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R²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4,34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0,24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0,88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BRUMS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3,99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0,24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0,76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2,59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0,35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0,22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S8 – Normalização alométrica: expoentes (b) e correlação (ρ) com a covariável, bruta → após normalização, por massa e por pico de velocidade (* p &lt; 0,05; a queda de ρ para ≈ 0 confirma a remoção da dependência)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b massa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ρ massa (bruto→norm.)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b PV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ρ PV (bruto→norm.)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+0,58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+0,35 → -0,04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-1,62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-0,52* → -0,19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BRUMS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+1,27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+0,34 → -0,03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-1,44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-0,32 → -0,17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-0,00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+0,06 → -0,02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-4,18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-0,22 → -0,21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Vigor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+0,16 → +0,02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+2,18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+0,48* → +0,09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line="336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2"/>
        </w:rPr>
        <w:t>A normalização alométrica ajusta cada variável pela covariável elevada a um expoente estimado (Y/massaᵇ e Y/PVᵇ). Pela massa corporal, os expoentes não atingiram significância e as correlações brutas foram fracas — as variáveis de humor e fadiga são essencialmente independentes do porte corporal, tornando a normalização por massa dispensável. Pela aptidão aeróbia (pico de velocidade do T-CAR), evidenciou-se um gradiente significativo: atletas mais aptos apresentaram menor fadiga física (ρ = −0,52; p &lt; 0,05) e maior vigor (ρ = +0,48; p &lt; 0,05), com expoentes negativos para as fadigas e positivo para o vigor. Portanto, o pico de velocidade — e não a massa — é a covariável relevante, e a normalização por PVᵇ produz um índice de fadiga ajustado à aptidão.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S10 – Ajuste alométrico da trajetória de fadiga (linear e log-log)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al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S11 – Relações alométricas (log-log) com a massa corporal (esq.) e com o pico de velocidade (dir.)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7203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allon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S9. Outros indicadores de monitoramento coletados na semana (TQR, Epworth, PSS)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S9 – Comportamento na semana da recuperação percebida (TQR), sonolência (Epworth) e estresse percebido (PSS)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Indicador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Dia 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Dia 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Coef./dia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p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ρ × fadiga física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Recuperação (TQR)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13,4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9,6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-0,23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0,017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-0,69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Sonolência (Epworth)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9,1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11,5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+0,33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0,036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+0,22</w:t>
            </w:r>
          </w:p>
        </w:tc>
      </w:tr>
      <w:tr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Estresse (PSS)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22,6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21,7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-0,17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0,369</w:t>
            </w:r>
          </w:p>
        </w:tc>
        <w:tc>
          <w:tcPr>
            <w:tcW w:type="dxa" w:w="1567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+0,05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line="336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2"/>
        </w:rPr>
        <w:t>A recuperação percebida (TQR) deteriorou-se (b = −0,23/dia; p = 0,017) e correlacionou-se inversamente com a fadiga física (ρ = −0,69), integrando o eixo energia–fadiga; a sonolência (Epworth) aumentou (acúmulo crônico); o estresse (PSS) permaneceu estável e independente da fadiga (traço). Dados da TQR extraídos em nível de grupo da base de wellness (sem identificação).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S12 – Comportamento semanal da TQR, Epworth e PSS (reta tracejada = tendência)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562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welln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6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before="200" w:after="60"/>
      </w:pPr>
      <w:r>
        <w:rPr>
          <w:rFonts w:ascii="Times New Roman" w:hAnsi="Times New Roman"/>
          <w:b/>
          <w:i w:val="0"/>
          <w:sz w:val="24"/>
        </w:rPr>
        <w:t>S10. Análise bayesiana e de equivalência (mudança D1→D7)</w:t>
      </w:r>
    </w:p>
    <w:p>
      <w:pPr>
        <w:spacing w:before="80" w:line="240" w:lineRule="auto"/>
        <w:jc w:val="left"/>
      </w:pPr>
      <w:r>
        <w:rPr>
          <w:rFonts w:ascii="Times New Roman" w:hAnsi="Times New Roman"/>
          <w:b w:val="0"/>
          <w:i w:val="0"/>
          <w:sz w:val="19"/>
        </w:rPr>
        <w:t>Tabela S10 – Fatores de Bayes (BF₁₀) para a mudança D1→D7 e classificação da evidência (BF &gt; 3 = efeito; BF &lt; 1/3 = ausência)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/>
          <w:right w:val="none"/>
          <w:insideV w:val="none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Variável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BF₁₀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Evidência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física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462818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efeito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Vigor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1081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efeito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(BRUMS)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14,16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efeito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PTH/TMD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1,37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indeterminado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Fadiga mental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0,69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indeterminado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Tensão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5,93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efeito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Depressão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0,25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ausência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Raiva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0,22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evidência de ausência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Confusão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1,62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indeterminado</w:t>
            </w:r>
          </w:p>
        </w:tc>
      </w:tr>
    </w:tbl>
    <w:p>
      <w:pPr>
        <w:spacing w:after="120" w:line="240" w:lineRule="auto"/>
      </w:pPr>
      <w:r>
        <w:rPr>
          <w:rFonts w:ascii="Times New Roman" w:hAnsi="Times New Roman"/>
          <w:b w:val="0"/>
          <w:i w:val="0"/>
          <w:sz w:val="18"/>
        </w:rPr>
        <w:t>Fonte: dados da pesquisa (2026).</w:t>
      </w:r>
    </w:p>
    <w:p>
      <w:pPr>
        <w:spacing w:line="336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2"/>
        </w:rPr>
        <w:t>Há evidência extrema a forte de efeito na fadiga física (BF₁₀ ≈ 4,6×10⁵), vigor (≈ 1.081), fadiga do BRUMS (14,2) e tensão (5,9); evidência de ausência de efeito na depressão (0,25) e na raiva (0,22), sustentando o custo somático e não afetivo; fadiga mental, PTH e confusão indeterminadas (poder amostral). O teste de equivalência (TOST, ROPE ±0,2 DP) não estabeleceu equivalência formal, dada a amostra de 25–27 atletas.</w:t>
      </w:r>
    </w:p>
    <w:p>
      <w:pPr>
        <w:spacing w:before="80" w:line="240" w:lineRule="auto"/>
        <w:jc w:val="center"/>
      </w:pPr>
      <w:r>
        <w:rPr>
          <w:rFonts w:ascii="Times New Roman" w:hAnsi="Times New Roman"/>
          <w:b w:val="0"/>
          <w:i w:val="0"/>
          <w:sz w:val="19"/>
        </w:rPr>
        <w:t>Figura S13 – Fatores de Bayes (BF₁₀, escala logarítmica) para a mudança D1→D7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323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_bay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Times New Roman" w:hAnsi="Times New Roman"/>
          <w:b w:val="0"/>
          <w:i w:val="0"/>
          <w:sz w:val="18"/>
        </w:rPr>
        <w:t>Fonte: elaborado pelos autores (2026).</w:t>
      </w:r>
    </w:p>
    <w:p>
      <w:pPr>
        <w:spacing w:line="336" w:lineRule="auto"/>
        <w:jc w:val="both"/>
      </w:pPr>
      <w:r>
        <w:rPr>
          <w:rFonts w:ascii="Times New Roman" w:hAnsi="Times New Roman"/>
          <w:b w:val="0"/>
          <w:i/>
          <w:sz w:val="18"/>
        </w:rPr>
        <w:t>Reprodutibilidade: todas as análises são reproduzíveis pelos scripts em Python do repositório; atletas anonimizados (A01–A27); nenhum dado bruto com identificação é distribuído.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