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resumida para apreciação)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a dinâmica do humor de atletas de handebol de elite ao longo de um microciclo pré-competitivo, com ênfase nos perfis de humor e no eixo energia–fadiga.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Aplicaram-se estatística descritiva, consistência interna, classificação dos seis perfis de humor e comparação entre dias e entre pré e pós-treino, sempre com o cálculo do tamanho e da magnitude do efeito.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psicológico consolidou-se como parte da gestão do treinamento no esporte de rendimento. Os instrumentos de autorrelato do humor são práticos, econômicos e sensíveis às variações da carga, e mostram utilidade para o acompanhamento do bem-estar e do desempenho (SAW; MAIN; GASTIN, 2016; LOCHBAUM et al., 2021). Por esse motivo, documentos de consenso recomendam o seu uso rotineiro para vigiar a fadiga e orientar as decisões de treino e recuperação (KELLMANN et al., 2018). Entre as dimensões avaliadas, o vigor e a fadiga formam o eixo mais responsivo à carga e sustentam boa parte do valor prático do monitoramento.</w:t>
      </w:r>
    </w:p>
    <w:p>
      <w:pPr>
        <w:spacing w:line="360" w:lineRule="auto" w:after="0"/>
        <w:ind w:firstLine="709"/>
        <w:jc w:val="both"/>
      </w:pPr>
      <w:r>
        <w:rPr>
          <w:b w:val="0"/>
          <w:sz w:val="24"/>
        </w:rPr>
        <w:t>A Escala de Humor de Brunel (BRUMS) mede seis dimensões do humor, a saber, tensão, depressão, raiva, vigor, fadiga e confusão, e dispõe de validação para o português (TERRY; LANE; FOGARTY, 2003; ROHLFS et al., 2008). A partir dessas dimensões, Terry e colaboradores descreveram seis perfis de humor que resumem o estado do atleta em um único quadro, entre os quais o perfil iceberg, que exprime prontidão, e a barbatana de tubarão, que sinaliza fadiga com vigor ainda preservado (MORGAN, 1985; PARSONS-SMITH; TERRY; MACHIN, 2017; TERRY et al., 2021). A leitura por perfis aproxima o dado psicométrico da linguagem do treinador e facilita a tomada de decisão (HAN; PARSONS-SMITH; TERRY, 2020).</w:t>
      </w:r>
    </w:p>
    <w:p>
      <w:pPr>
        <w:spacing w:line="360" w:lineRule="auto" w:after="0"/>
        <w:ind w:firstLine="709"/>
        <w:jc w:val="both"/>
      </w:pPr>
      <w:r>
        <w:rPr>
          <w:b w:val="0"/>
          <w:sz w:val="24"/>
        </w:rPr>
        <w:t>O handebol é uma modalidade coletiva intermitente de alta intensidade, com sprints curtos, mudanças de direção, saltos e contato físico, o que impõe elevada demanda neuromuscular e psicofisiológica ao longo da semana de treino (KARCHER; BUCHHEIT, 2014; GARCÍA-SÁNCHEZ et al., 2023). Nesse contexto, a acumulação de carga tende a corroer o vigor e a elevar a fadiga, um padrão que, quando controlado, caracteriza o sobre-esforço funcional e antecede a recuperação planejada (THORPE et al., 2017; ROETE et al., 2021). O acompanhamento do humor oferece, assim, um marcador sensível e de baixo custo para essa janela.</w:t>
      </w:r>
    </w:p>
    <w:p>
      <w:pPr>
        <w:spacing w:line="360" w:lineRule="auto" w:after="0"/>
        <w:ind w:firstLine="709"/>
        <w:jc w:val="both"/>
      </w:pPr>
      <w:r>
        <w:rPr>
          <w:b w:val="0"/>
          <w:sz w:val="24"/>
        </w:rPr>
        <w:t>Apesar do interesse crescente, poucos estudos descrevem a migração dos perfis de humor dentro de um microciclo de handebol de elite, com coletas pré e pós-treino que capturam também a variação dentro do dia. O presente trabalho reúne essa descrição em um formato direto e visual, de modo a evidenciar como o par vigor–fadiga governa a mudança do estado do atleta e como os perfis se reconfiguram entre o início e o fim da semana (DE MIRANDA ROHLFS et al., 2024).</w:t>
      </w:r>
    </w:p>
    <w:p>
      <w:pPr>
        <w:spacing w:before="200" w:after="80" w:line="360" w:lineRule="auto"/>
      </w:pPr>
      <w:r>
        <w:rPr>
          <w:b/>
          <w:sz w:val="24"/>
        </w:rPr>
        <w:t>2 OBJETIVO</w:t>
      </w:r>
    </w:p>
    <w:p>
      <w:pPr>
        <w:spacing w:line="360" w:lineRule="auto" w:after="0"/>
        <w:ind w:firstLine="709"/>
        <w:jc w:val="both"/>
      </w:pPr>
      <w:r>
        <w:rPr>
          <w:b w:val="0"/>
          <w:sz w:val="24"/>
        </w:rPr>
        <w:t>Descrever e caracterizar a dinâmica do humor de atletas de handebol de elite ao longo de um microciclo pré-competitivo, com destaque para o comportamento dos seis perfis de humor, para a mudança entre o primeiro e o último dia, para a variação entre pré e pós-treino e para a magnitude dos efeitos ao longo da semana.</w:t>
      </w:r>
    </w:p>
    <w:p>
      <w:pPr>
        <w:spacing w:before="200" w:after="80" w:line="360" w:lineRule="auto"/>
      </w:pPr>
      <w:r>
        <w:rPr>
          <w:b/>
          <w:sz w:val="24"/>
        </w:rPr>
        <w:t>3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Adotou-se nível de significância de 5%.</w:t>
      </w:r>
    </w:p>
    <w:p>
      <w:pPr>
        <w:spacing w:before="200" w:after="80" w:line="360" w:lineRule="auto"/>
      </w:pPr>
      <w:r>
        <w:rPr>
          <w:b/>
          <w:sz w:val="24"/>
        </w:rPr>
        <w:t>4 RESULTADOS</w:t>
      </w:r>
    </w:p>
    <w:p>
      <w:pPr>
        <w:spacing w:before="120" w:after="80" w:line="360" w:lineRule="auto"/>
      </w:pPr>
      <w:r>
        <w:rPr>
          <w:b/>
          <w:sz w:val="24"/>
        </w:rPr>
        <w:t>4.1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1 apresenta os diagramas de caixa das seis dimensões, em ordem canônica e em painéis separados, com a mediana e a média de cada uma. Como as dimensões diferem muito em amplitude, cada painel usa a escala da própria variável, o que torna a distribuição de cada uma mais legível. O vigor e a fadiga percorrem a maior parte da escala e apresentam média e mediana próximas, sinal de distribuições razoavelmente simétricas, ao passo que as dimensões negativas concentram a caixa junto ao zero e exibem a média acima da mediana, o que revela assimetria positiva e um efeito de piso.</w:t>
      </w:r>
    </w:p>
    <w:p>
      <w:pPr>
        <w:spacing w:before="120"/>
        <w:jc w:val="center"/>
      </w:pPr>
      <w:r>
        <w:drawing>
          <wp:inline xmlns:a="http://schemas.openxmlformats.org/drawingml/2006/main" xmlns:pic="http://schemas.openxmlformats.org/drawingml/2006/picture">
            <wp:extent cx="4860000" cy="2243077"/>
            <wp:docPr id="1" name="Picture 1"/>
            <wp:cNvGraphicFramePr>
              <a:graphicFrameLocks noChangeAspect="1"/>
            </wp:cNvGraphicFramePr>
            <a:graphic>
              <a:graphicData uri="http://schemas.openxmlformats.org/drawingml/2006/picture">
                <pic:pic>
                  <pic:nvPicPr>
                    <pic:cNvPr id="0" name="box_humor.png"/>
                    <pic:cNvPicPr/>
                  </pic:nvPicPr>
                  <pic:blipFill>
                    <a:blip r:embed="rId9"/>
                    <a:stretch>
                      <a:fillRect/>
                    </a:stretch>
                  </pic:blipFill>
                  <pic:spPr>
                    <a:xfrm>
                      <a:off x="0" y="0"/>
                      <a:ext cx="4860000" cy="2243077"/>
                    </a:xfrm>
                    <a:prstGeom prst="rect"/>
                  </pic:spPr>
                </pic:pic>
              </a:graphicData>
            </a:graphic>
          </wp:inline>
        </w:drawing>
      </w:r>
    </w:p>
    <w:p>
      <w:pPr>
        <w:jc w:val="center"/>
      </w:pPr>
      <w:r>
        <w:rPr>
          <w:sz w:val="22"/>
        </w:rPr>
        <w:t>Figura 1 – Diagramas de caixa das seis dimensões do BRUMS, em painéis separados e ordem canônica; cada painel usa a escala da própria variável, com a mediana (linha sólida) e a média (linha tracejada e losango).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pobre;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line="360" w:lineRule="auto" w:after="0"/>
        <w:ind w:firstLine="709"/>
        <w:jc w:val="both"/>
      </w:pPr>
      <w:r>
        <w:rPr>
          <w:b w:val="0"/>
          <w:sz w:val="24"/>
        </w:rPr>
        <w:t>A partir do ICC derivaram-se os limiares de mudança das duas dimensões do eixo energia–fadiga (Tabela 3), úteis para separar a variação real do ruído de medida. No vigor, o erro-padrão de medida foi de 2,3 ponto e a mudança mínima detectável, de 5,3 (90%) a 6,3 (95%) pontos; na fadiga, de 2,5 e de 5,9 a 7,0 pontos, respectivamente. Esses valores superam a menor mudança relevante (SWC = 0,5 no vigor e 0,6 na fadiga), o que indica que, no plano individual, apenas oscilações de cerca de 5,3 a 5,9 pontos podem ser lidas como mudança real, ao passo que variações menores se confundem com o ruído. Por esse motivo, a interpretação deste estudo apoia-se nas tendências de grupo e não em leituras isoladas por atleta.</w:t>
      </w:r>
    </w:p>
    <w:p>
      <w:pPr>
        <w:spacing w:before="160" w:after="40"/>
      </w:pPr>
      <w:r>
        <w:rPr>
          <w:sz w:val="22"/>
        </w:rPr>
        <w:t>Tabela 3 – Erro de medida e limiares de mudança do vigor e da fadiga (escala 0–16): erro-padrão de medida (SEM), mudança mínima detectável (MDC) e menor mudança relevante (SWC).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tomada como real quando excede a MDC.</w:t>
      </w:r>
    </w:p>
    <w:p>
      <w:pPr>
        <w:spacing w:after="120"/>
      </w:pPr>
      <w:r>
        <w:rPr>
          <w:sz w:val="18"/>
        </w:rPr>
        <w:t>Fonte: dados da pesquisa (2026).</w:t>
      </w:r>
    </w:p>
    <w:p>
      <w:pPr>
        <w:spacing w:before="120" w:after="80" w:line="360" w:lineRule="auto"/>
      </w:pPr>
      <w:r>
        <w:rPr>
          <w:b/>
          <w:sz w:val="24"/>
        </w:rPr>
        <w:t>4.2 Perfis de humor e sua migração</w:t>
      </w:r>
    </w:p>
    <w:p>
      <w:pPr>
        <w:spacing w:line="360" w:lineRule="auto" w:after="0"/>
        <w:ind w:firstLine="709"/>
        <w:jc w:val="both"/>
      </w:pPr>
      <w:r>
        <w:rPr>
          <w:b w:val="0"/>
          <w:sz w:val="24"/>
        </w:rPr>
        <w:t>Os seis perfis de humor descritos na literatura estiveram representados na amostra. A Figura 2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4500000" cy="2448000"/>
            <wp:docPr id="2" name="Picture 2"/>
            <wp:cNvGraphicFramePr>
              <a:graphicFrameLocks noChangeAspect="1"/>
            </wp:cNvGraphicFramePr>
            <a:graphic>
              <a:graphicData uri="http://schemas.openxmlformats.org/drawingml/2006/picture">
                <pic:pic>
                  <pic:nvPicPr>
                    <pic:cNvPr id="0" name="xb6_clusters.png"/>
                    <pic:cNvPicPr/>
                  </pic:nvPicPr>
                  <pic:blipFill>
                    <a:blip r:embed="rId10"/>
                    <a:stretch>
                      <a:fillRect/>
                    </a:stretch>
                  </pic:blipFill>
                  <pic:spPr>
                    <a:xfrm>
                      <a:off x="0" y="0"/>
                      <a:ext cx="4500000" cy="2448000"/>
                    </a:xfrm>
                    <a:prstGeom prst="rect"/>
                  </pic:spPr>
                </pic:pic>
              </a:graphicData>
            </a:graphic>
          </wp:inline>
        </w:drawing>
      </w:r>
    </w:p>
    <w:p>
      <w:pPr>
        <w:jc w:val="center"/>
      </w:pPr>
      <w:r>
        <w:rPr>
          <w:sz w:val="22"/>
        </w:rPr>
        <w:t>Figura 2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3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3" name="Picture 3"/>
            <wp:cNvGraphicFramePr>
              <a:graphicFrameLocks noChangeAspect="1"/>
            </wp:cNvGraphicFramePr>
            <a:graphic>
              <a:graphicData uri="http://schemas.openxmlformats.org/drawingml/2006/picture">
                <pic:pic>
                  <pic:nvPicPr>
                    <pic:cNvPr id="0" name="xb5_profile_d1d7.png"/>
                    <pic:cNvPicPr/>
                  </pic:nvPicPr>
                  <pic:blipFill>
                    <a:blip r:embed="rId11"/>
                    <a:stretch>
                      <a:fillRect/>
                    </a:stretch>
                  </pic:blipFill>
                  <pic:spPr>
                    <a:xfrm>
                      <a:off x="0" y="0"/>
                      <a:ext cx="4680000" cy="2523130"/>
                    </a:xfrm>
                    <a:prstGeom prst="rect"/>
                  </pic:spPr>
                </pic:pic>
              </a:graphicData>
            </a:graphic>
          </wp:inline>
        </w:drawing>
      </w:r>
    </w:p>
    <w:p>
      <w:pPr>
        <w:jc w:val="center"/>
      </w:pPr>
      <w:r>
        <w:rPr>
          <w:sz w:val="22"/>
        </w:rPr>
        <w:t>Figura 3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4).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4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4.3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5).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5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4.4 Comparação das dimensões entre os dias (Friedman)</w:t>
      </w:r>
    </w:p>
    <w:p>
      <w:pPr>
        <w:spacing w:line="360" w:lineRule="auto" w:after="0"/>
        <w:ind w:firstLine="709"/>
        <w:jc w:val="both"/>
      </w:pPr>
      <w:r>
        <w:rPr>
          <w:b w:val="0"/>
          <w:sz w:val="24"/>
        </w:rPr>
        <w:t>A comparação das dimensões entre os sete dias pelo teste de Friedman (Tabela 6)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6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4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4500000" cy="2884615"/>
            <wp:docPr id="4" name="Picture 4"/>
            <wp:cNvGraphicFramePr>
              <a:graphicFrameLocks noChangeAspect="1"/>
            </wp:cNvGraphicFramePr>
            <a:graphic>
              <a:graphicData uri="http://schemas.openxmlformats.org/drawingml/2006/picture">
                <pic:pic>
                  <pic:nvPicPr>
                    <pic:cNvPr id="0" name="abnt_f1_trajetoria.png"/>
                    <pic:cNvPicPr/>
                  </pic:nvPicPr>
                  <pic:blipFill>
                    <a:blip r:embed="rId12"/>
                    <a:stretch>
                      <a:fillRect/>
                    </a:stretch>
                  </pic:blipFill>
                  <pic:spPr>
                    <a:xfrm>
                      <a:off x="0" y="0"/>
                      <a:ext cx="4500000" cy="2884615"/>
                    </a:xfrm>
                    <a:prstGeom prst="rect"/>
                  </pic:spPr>
                </pic:pic>
              </a:graphicData>
            </a:graphic>
          </wp:inline>
        </w:drawing>
      </w:r>
    </w:p>
    <w:p>
      <w:pPr>
        <w:jc w:val="center"/>
      </w:pPr>
      <w:r>
        <w:rPr>
          <w:sz w:val="22"/>
        </w:rPr>
        <w:t>Figura 4 – Trajetória de vigor, fadiga e perturbação total do humor ao longo dos sete dias (curvas suavizadas; ponto de inflexão e extremos sinalizados).</w:t>
      </w:r>
    </w:p>
    <w:p>
      <w:pPr>
        <w:spacing w:after="120"/>
        <w:jc w:val="center"/>
      </w:pPr>
      <w:r>
        <w:rPr>
          <w:sz w:val="18"/>
        </w:rPr>
        <w:t>Fonte: elaboração dos autores (2026).</w:t>
      </w:r>
    </w:p>
    <w:p>
      <w:pPr>
        <w:spacing w:line="360" w:lineRule="auto" w:after="0"/>
        <w:ind w:firstLine="709"/>
        <w:jc w:val="both"/>
      </w:pPr>
      <w:r>
        <w:rPr>
          <w:b w:val="0"/>
          <w:sz w:val="24"/>
        </w:rPr>
        <w:t>A Figura 5 detalha, por meio de diagramas de caixa por dia, a distribuição de cada dimensão ao longo da semana. O deslocamento das caixas do vigor para baixo e das caixas da fadiga para cima, sobretudo na segunda metade do microciclo, torna visível a mesma deterioração do eixo energia–fadiga, ao passo que as dimensões negativas de menor expressão mantêm caixas comprimidas junto ao zero.</w:t>
      </w:r>
    </w:p>
    <w:p>
      <w:pPr>
        <w:spacing w:before="120"/>
        <w:jc w:val="center"/>
      </w:pPr>
      <w:r>
        <w:drawing>
          <wp:inline xmlns:a="http://schemas.openxmlformats.org/drawingml/2006/main" xmlns:pic="http://schemas.openxmlformats.org/drawingml/2006/picture">
            <wp:extent cx="5400000" cy="2630769"/>
            <wp:docPr id="5" name="Picture 5"/>
            <wp:cNvGraphicFramePr>
              <a:graphicFrameLocks noChangeAspect="1"/>
            </wp:cNvGraphicFramePr>
            <a:graphic>
              <a:graphicData uri="http://schemas.openxmlformats.org/drawingml/2006/picture">
                <pic:pic>
                  <pic:nvPicPr>
                    <pic:cNvPr id="0" name="xb3_box.png"/>
                    <pic:cNvPicPr/>
                  </pic:nvPicPr>
                  <pic:blipFill>
                    <a:blip r:embed="rId13"/>
                    <a:stretch>
                      <a:fillRect/>
                    </a:stretch>
                  </pic:blipFill>
                  <pic:spPr>
                    <a:xfrm>
                      <a:off x="0" y="0"/>
                      <a:ext cx="5400000" cy="2630769"/>
                    </a:xfrm>
                    <a:prstGeom prst="rect"/>
                  </pic:spPr>
                </pic:pic>
              </a:graphicData>
            </a:graphic>
          </wp:inline>
        </w:drawing>
      </w:r>
    </w:p>
    <w:p>
      <w:pPr>
        <w:jc w:val="center"/>
      </w:pPr>
      <w:r>
        <w:rPr>
          <w:sz w:val="22"/>
        </w:rPr>
        <w:t>Figura 5 – Diagramas de caixa das seis dimensões do BRUMS por dia do microciclo (áreas sombreadas: início e acúmulo da semana).</w:t>
      </w:r>
    </w:p>
    <w:p>
      <w:pPr>
        <w:spacing w:after="120"/>
        <w:jc w:val="center"/>
      </w:pPr>
      <w:r>
        <w:rPr>
          <w:sz w:val="18"/>
        </w:rPr>
        <w:t>Fonte: elaboração dos autores (2026).</w:t>
      </w:r>
    </w:p>
    <w:p>
      <w:pPr>
        <w:spacing w:line="360" w:lineRule="auto" w:after="0"/>
        <w:ind w:firstLine="709"/>
        <w:jc w:val="both"/>
      </w:pPr>
      <w:r>
        <w:rPr>
          <w:b w:val="0"/>
          <w:sz w:val="24"/>
        </w:rPr>
        <w:t>A comparação direta da PTH entre três momentos do microciclo (Figura 6) ilustra a mesma tendência: a perturbação total do humor aumentou do primeiro para o último dia, e a diferença foi significativa entre o Dia 1 e o Dia 7 (p = 0,008), ao passo que as comparações entre dias adjacentes não alcançaram significância.</w:t>
      </w:r>
    </w:p>
    <w:p>
      <w:pPr>
        <w:spacing w:before="120"/>
        <w:jc w:val="center"/>
      </w:pPr>
      <w:r>
        <w:drawing>
          <wp:inline xmlns:a="http://schemas.openxmlformats.org/drawingml/2006/main" xmlns:pic="http://schemas.openxmlformats.org/drawingml/2006/picture">
            <wp:extent cx="4140000" cy="2737742"/>
            <wp:docPr id="6" name="Picture 6"/>
            <wp:cNvGraphicFramePr>
              <a:graphicFrameLocks noChangeAspect="1"/>
            </wp:cNvGraphicFramePr>
            <a:graphic>
              <a:graphicData uri="http://schemas.openxmlformats.org/drawingml/2006/picture">
                <pic:pic>
                  <pic:nvPicPr>
                    <pic:cNvPr id="0" name="box_signif.png"/>
                    <pic:cNvPicPr/>
                  </pic:nvPicPr>
                  <pic:blipFill>
                    <a:blip r:embed="rId14"/>
                    <a:stretch>
                      <a:fillRect/>
                    </a:stretch>
                  </pic:blipFill>
                  <pic:spPr>
                    <a:xfrm>
                      <a:off x="0" y="0"/>
                      <a:ext cx="4140000" cy="2737742"/>
                    </a:xfrm>
                    <a:prstGeom prst="rect"/>
                  </pic:spPr>
                </pic:pic>
              </a:graphicData>
            </a:graphic>
          </wp:inline>
        </w:drawing>
      </w:r>
    </w:p>
    <w:p>
      <w:pPr>
        <w:jc w:val="center"/>
      </w:pPr>
      <w:r>
        <w:rPr>
          <w:sz w:val="22"/>
        </w:rPr>
        <w:t>Figura 6 – Perturbação total do humor (PTH) no Dia 1, no Dia 4 e no Dia 7, com as comparações par a par (teste de Mann-Whitney; * p &lt; 0,05; ** p &lt; 0,01; ns = não significativo).</w:t>
      </w:r>
    </w:p>
    <w:p>
      <w:pPr>
        <w:spacing w:after="120"/>
        <w:jc w:val="center"/>
      </w:pPr>
      <w:r>
        <w:rPr>
          <w:sz w:val="18"/>
        </w:rPr>
        <w:t>Fonte: elaboração dos autores (2026).</w:t>
      </w:r>
    </w:p>
    <w:p>
      <w:pPr>
        <w:spacing w:before="120" w:after="80" w:line="360" w:lineRule="auto"/>
      </w:pPr>
      <w:r>
        <w:rPr>
          <w:b/>
          <w:sz w:val="24"/>
        </w:rPr>
        <w:t>4.5 Suavização das trajetórias e limites das segundas derivadas</w:t>
      </w:r>
    </w:p>
    <w:p>
      <w:pPr>
        <w:spacing w:line="360" w:lineRule="auto" w:after="0"/>
        <w:ind w:firstLine="709"/>
        <w:jc w:val="both"/>
      </w:pPr>
      <w:r>
        <w:rPr>
          <w:b w:val="0"/>
          <w:sz w:val="24"/>
        </w:rPr>
        <w:t>Para separar o sinal do ruído, as trajetórias do vigor, da fadiga e da PTH foram suavizadas sobre os doze pontos pré e pós-treino por meio de uma spline, e a segunda derivada de cada curva localizou o seu ponto de inflexão, ou seja, o momento em que a concavidade muda e a taxa de variação atinge o seu limite (Figura 7; Tabela 7). Depois de removido o ruído, cada dimensão exibiu um único ponto de inflexão, situado na metade da semana (em torno do Dia 3,8), o que marca a transição entre a fase inicial de prontidão e a fase de acúmulo de carga. A curva suavizada do vigor subiu até um máximo em torno do Dia 5,0 e caiu ao seu mínimo no fim da semana, enquanto a fadiga e a PTH percorreram o caminho inverso e atingiram os seus máximos no último dia.</w:t>
      </w:r>
    </w:p>
    <w:p>
      <w:pPr>
        <w:spacing w:before="120"/>
        <w:jc w:val="center"/>
      </w:pPr>
      <w:r>
        <w:drawing>
          <wp:inline xmlns:a="http://schemas.openxmlformats.org/drawingml/2006/main" xmlns:pic="http://schemas.openxmlformats.org/drawingml/2006/picture">
            <wp:extent cx="4500000" cy="2884615"/>
            <wp:docPr id="7" name="Picture 7"/>
            <wp:cNvGraphicFramePr>
              <a:graphicFrameLocks noChangeAspect="1"/>
            </wp:cNvGraphicFramePr>
            <a:graphic>
              <a:graphicData uri="http://schemas.openxmlformats.org/drawingml/2006/picture">
                <pic:pic>
                  <pic:nvPicPr>
                    <pic:cNvPr id="0" name="smooth_deriv.png"/>
                    <pic:cNvPicPr/>
                  </pic:nvPicPr>
                  <pic:blipFill>
                    <a:blip r:embed="rId15"/>
                    <a:stretch>
                      <a:fillRect/>
                    </a:stretch>
                  </pic:blipFill>
                  <pic:spPr>
                    <a:xfrm>
                      <a:off x="0" y="0"/>
                      <a:ext cx="4500000" cy="2884615"/>
                    </a:xfrm>
                    <a:prstGeom prst="rect"/>
                  </pic:spPr>
                </pic:pic>
              </a:graphicData>
            </a:graphic>
          </wp:inline>
        </w:drawing>
      </w:r>
    </w:p>
    <w:p>
      <w:pPr>
        <w:jc w:val="center"/>
      </w:pPr>
      <w:r>
        <w:rPr>
          <w:sz w:val="22"/>
        </w:rPr>
        <w:t>Figura 7 – Trajetórias suavizadas do vigor, da fadiga e da PTH sobre os doze pontos pré e pós-treino. Marcadores translúcidos: sinal bruto; linha grossa: sinal suavizado; linha pontilhada: ponto de inflexão (segunda derivada nula); triângulos: máximo e mínimo. Áreas sombreadas: início e acúmulo da semana.</w:t>
      </w:r>
    </w:p>
    <w:p>
      <w:pPr>
        <w:spacing w:after="120"/>
        <w:jc w:val="center"/>
      </w:pPr>
      <w:r>
        <w:rPr>
          <w:sz w:val="18"/>
        </w:rPr>
        <w:t>Fonte: elaboração dos autores (2026).</w:t>
      </w:r>
    </w:p>
    <w:p>
      <w:pPr>
        <w:spacing w:before="160" w:after="40"/>
      </w:pPr>
      <w:r>
        <w:rPr>
          <w:sz w:val="22"/>
        </w:rPr>
        <w:t>Tabela 7 – Ponto de inflexão (segunda derivada nula) e extremos das trajetórias suavizadas do eixo energia–fadiga.</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Inflexão (dia)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Máximo: dia (escore)</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Mínimo: dia (escore)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5,0 (5,9)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(4,2)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(7,7)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1,8 (4,5)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(9,9)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4,7 (3,2)</w:t>
            </w:r>
          </w:p>
        </w:tc>
      </w:tr>
    </w:tbl>
    <w:p>
      <w:pPr>
        <w:spacing w:after="0"/>
      </w:pPr>
      <w:r>
        <w:rPr>
          <w:i/>
          <w:sz w:val="17"/>
        </w:rPr>
        <w:t>Curvas suavizadas por spline sobre os 12 pontos pré/pós; inflexão = raiz da segunda derivada. PTH: perturbação total do humor.</w:t>
      </w:r>
    </w:p>
    <w:p>
      <w:pPr>
        <w:spacing w:after="120"/>
      </w:pPr>
      <w:r>
        <w:rPr>
          <w:sz w:val="18"/>
        </w:rPr>
        <w:t>Fonte: dados da pesquisa (2026).</w:t>
      </w:r>
    </w:p>
    <w:p>
      <w:pPr>
        <w:spacing w:before="120" w:after="80" w:line="360" w:lineRule="auto"/>
      </w:pPr>
      <w:r>
        <w:rPr>
          <w:b/>
          <w:sz w:val="24"/>
        </w:rPr>
        <w:t>4.6 Dias de pico e comparação de cada dia ao primeiro</w:t>
      </w:r>
    </w:p>
    <w:p>
      <w:pPr>
        <w:spacing w:line="360" w:lineRule="auto" w:after="0"/>
        <w:ind w:firstLine="709"/>
        <w:jc w:val="both"/>
      </w:pPr>
      <w:r>
        <w:rPr>
          <w:b w:val="0"/>
          <w:sz w:val="24"/>
        </w:rPr>
        <w:t>A localização dos picos sintetiza a dinâmica semanal (Tabela 8). O vigor foi máximo no Dia 1 e mínimo no Dia 7; a fadiga foi máxima no Dia 7; a tensão, no Dia 1; a raiva, no Dia 7; e a depressão, no Dia 7. Em síntese, o início da semana reúne maior prontidão, com vigor e tensão mais altos, ao passo que o final concentra a fadiga e a raiva.</w:t>
      </w:r>
    </w:p>
    <w:p>
      <w:pPr>
        <w:spacing w:before="160" w:after="40"/>
      </w:pPr>
      <w:r>
        <w:rPr>
          <w:sz w:val="22"/>
        </w:rPr>
        <w:t>Tabela 8 – Dia de maior e de menor expressão de cada dimensão do humor (médias diárias).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bl>
    <w:p>
      <w:pPr>
        <w:spacing w:after="120"/>
      </w:pPr>
      <w:r>
        <w:rPr>
          <w:sz w:val="18"/>
        </w:rPr>
        <w:t>Fonte: dados da pesquisa (2026).</w:t>
      </w:r>
    </w:p>
    <w:p>
      <w:pPr>
        <w:spacing w:line="360" w:lineRule="auto" w:after="0"/>
        <w:ind w:firstLine="709"/>
        <w:jc w:val="both"/>
      </w:pPr>
      <w:r>
        <w:rPr>
          <w:b w:val="0"/>
          <w:sz w:val="24"/>
        </w:rPr>
        <w:t>No pós-teste que compara todos os dias entre si (Tabela 9; Figura 8), o vigor diferiu de forma significativa em 9 dos 21 pares de dias e a fadiga em 6, sempre no sentido de piora em relação aos primeiros dias, o que confirma a deterioração progressiva do eixo energia–fadiga ao longo do microciclo.</w:t>
      </w:r>
    </w:p>
    <w:p>
      <w:pPr>
        <w:spacing w:before="160" w:after="40"/>
      </w:pPr>
      <w:r>
        <w:rPr>
          <w:sz w:val="22"/>
        </w:rPr>
        <w:t>Tabela 9 – Médias marginais estimadas por dia do vigor e da fadiga, com comparação de cada dia ao Dia 1 (pós-teste de Tukey).</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220000" cy="2644800"/>
            <wp:docPr id="8" name="Picture 8"/>
            <wp:cNvGraphicFramePr>
              <a:graphicFrameLocks noChangeAspect="1"/>
            </wp:cNvGraphicFramePr>
            <a:graphic>
              <a:graphicData uri="http://schemas.openxmlformats.org/drawingml/2006/picture">
                <pic:pic>
                  <pic:nvPicPr>
                    <pic:cNvPr id="0" name="ph_emm.png"/>
                    <pic:cNvPicPr/>
                  </pic:nvPicPr>
                  <pic:blipFill>
                    <a:blip r:embed="rId16"/>
                    <a:stretch>
                      <a:fillRect/>
                    </a:stretch>
                  </pic:blipFill>
                  <pic:spPr>
                    <a:xfrm>
                      <a:off x="0" y="0"/>
                      <a:ext cx="5220000" cy="2644800"/>
                    </a:xfrm>
                    <a:prstGeom prst="rect"/>
                  </pic:spPr>
                </pic:pic>
              </a:graphicData>
            </a:graphic>
          </wp:inline>
        </w:drawing>
      </w:r>
    </w:p>
    <w:p>
      <w:pPr>
        <w:jc w:val="center"/>
      </w:pPr>
      <w:r>
        <w:rPr>
          <w:sz w:val="22"/>
        </w:rPr>
        <w:t>Figura 8 – Médias marginais diárias do vigor, da fadiga e da fadiga física, com comparação de todos os dias ao Dia 1 (* p &lt; 0,05).</w:t>
      </w:r>
    </w:p>
    <w:p>
      <w:pPr>
        <w:spacing w:after="120"/>
        <w:jc w:val="center"/>
      </w:pPr>
      <w:r>
        <w:rPr>
          <w:sz w:val="18"/>
        </w:rPr>
        <w:t>Fonte: elaboração dos autores (2026).</w:t>
      </w:r>
    </w:p>
    <w:p>
      <w:pPr>
        <w:spacing w:before="120" w:after="80" w:line="360" w:lineRule="auto"/>
      </w:pPr>
      <w:r>
        <w:rPr>
          <w:b/>
          <w:sz w:val="24"/>
        </w:rPr>
        <w:t>4.7 Variação entre pré e pós-treino (Wilcoxon)</w:t>
      </w:r>
    </w:p>
    <w:p>
      <w:pPr>
        <w:spacing w:line="360" w:lineRule="auto" w:after="0"/>
        <w:ind w:firstLine="709"/>
        <w:jc w:val="both"/>
      </w:pPr>
      <w:r>
        <w:rPr>
          <w:b w:val="0"/>
          <w:sz w:val="24"/>
        </w:rPr>
        <w:t>A comparação entre pré e pós-treino pelo teste de Wilcoxon (Tabela 10)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w:t>
      </w:r>
    </w:p>
    <w:p>
      <w:pPr>
        <w:spacing w:before="160" w:after="40"/>
      </w:pPr>
      <w:r>
        <w:rPr>
          <w:sz w:val="22"/>
        </w:rPr>
        <w:t>Tabela 10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4500000" cy="2884615"/>
            <wp:docPr id="9" name="Picture 9"/>
            <wp:cNvGraphicFramePr>
              <a:graphicFrameLocks noChangeAspect="1"/>
            </wp:cNvGraphicFramePr>
            <a:graphic>
              <a:graphicData uri="http://schemas.openxmlformats.org/drawingml/2006/picture">
                <pic:pic>
                  <pic:nvPicPr>
                    <pic:cNvPr id="0" name="abnt_f_prepos.png"/>
                    <pic:cNvPicPr/>
                  </pic:nvPicPr>
                  <pic:blipFill>
                    <a:blip r:embed="rId17"/>
                    <a:stretch>
                      <a:fillRect/>
                    </a:stretch>
                  </pic:blipFill>
                  <pic:spPr>
                    <a:xfrm>
                      <a:off x="0" y="0"/>
                      <a:ext cx="4500000" cy="2884615"/>
                    </a:xfrm>
                    <a:prstGeom prst="rect"/>
                  </pic:spPr>
                </pic:pic>
              </a:graphicData>
            </a:graphic>
          </wp:inline>
        </w:drawing>
      </w:r>
    </w:p>
    <w:p>
      <w:pPr>
        <w:jc w:val="center"/>
      </w:pPr>
      <w:r>
        <w:rPr>
          <w:sz w:val="22"/>
        </w:rPr>
        <w:t>Figura 9 – Escores de vigor, fadiga e perturbação total do humor no pré e no pós-treino, por dia.</w:t>
      </w:r>
    </w:p>
    <w:p>
      <w:pPr>
        <w:spacing w:after="120"/>
        <w:jc w:val="center"/>
      </w:pPr>
      <w:r>
        <w:rPr>
          <w:sz w:val="18"/>
        </w:rPr>
        <w:t>Fonte: elaboração dos autores (2026).</w:t>
      </w:r>
    </w:p>
    <w:p>
      <w:pPr>
        <w:spacing w:before="120" w:after="80" w:line="360" w:lineRule="auto"/>
      </w:pPr>
      <w:r>
        <w:rPr>
          <w:b/>
          <w:sz w:val="24"/>
        </w:rPr>
        <w:t>4.8 Relações entre as dimensões (Spearman)</w:t>
      </w:r>
    </w:p>
    <w:p>
      <w:pPr>
        <w:spacing w:line="360" w:lineRule="auto" w:after="0"/>
        <w:ind w:firstLine="709"/>
        <w:jc w:val="both"/>
      </w:pPr>
      <w:r>
        <w:rPr>
          <w:b w:val="0"/>
          <w:sz w:val="24"/>
        </w:rPr>
        <w:t>As correlações de Spearman entre as dimensões (Tabela 11)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11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before="120" w:after="80" w:line="360" w:lineRule="auto"/>
      </w:pPr>
      <w:r>
        <w:rPr>
          <w:b/>
          <w:sz w:val="24"/>
        </w:rPr>
        <w:t>4.9 Estrutura dimensional (análise de componentes principais)</w:t>
      </w:r>
    </w:p>
    <w:p>
      <w:pPr>
        <w:spacing w:line="360" w:lineRule="auto" w:after="0"/>
        <w:ind w:firstLine="709"/>
        <w:jc w:val="both"/>
      </w:pPr>
      <w:r>
        <w:rPr>
          <w:b w:val="0"/>
          <w:sz w:val="24"/>
        </w:rPr>
        <w:t>Uma análise exploratória de componentes principais resumiu a estrutura das seis dimensões. Os dois primeiros componentes explicaram 64% da variância (41% no primeiro e 23% no segundo). O círculo de correlação (Figura 10) mostra que as dimensões negativas (depressão, raiva, confusão e fadiga) se projetam juntas no lado positivo do primeiro componente, que funciona como um eixo geral de perturbação, ao passo que o vigor aponta em sentido oposto. Essa oposição reforça, por via independente, a centralidade do eixo energia–fadiga.</w:t>
      </w:r>
    </w:p>
    <w:p>
      <w:pPr>
        <w:spacing w:before="120"/>
        <w:jc w:val="center"/>
      </w:pPr>
      <w:r>
        <w:drawing>
          <wp:inline xmlns:a="http://schemas.openxmlformats.org/drawingml/2006/main" xmlns:pic="http://schemas.openxmlformats.org/drawingml/2006/picture">
            <wp:extent cx="4320000" cy="4114286"/>
            <wp:docPr id="10" name="Picture 10"/>
            <wp:cNvGraphicFramePr>
              <a:graphicFrameLocks noChangeAspect="1"/>
            </wp:cNvGraphicFramePr>
            <a:graphic>
              <a:graphicData uri="http://schemas.openxmlformats.org/drawingml/2006/picture">
                <pic:pic>
                  <pic:nvPicPr>
                    <pic:cNvPr id="0" name="pca_circulo.png"/>
                    <pic:cNvPicPr/>
                  </pic:nvPicPr>
                  <pic:blipFill>
                    <a:blip r:embed="rId18"/>
                    <a:stretch>
                      <a:fillRect/>
                    </a:stretch>
                  </pic:blipFill>
                  <pic:spPr>
                    <a:xfrm>
                      <a:off x="0" y="0"/>
                      <a:ext cx="4320000" cy="4114286"/>
                    </a:xfrm>
                    <a:prstGeom prst="rect"/>
                  </pic:spPr>
                </pic:pic>
              </a:graphicData>
            </a:graphic>
          </wp:inline>
        </w:drawing>
      </w:r>
    </w:p>
    <w:p>
      <w:pPr>
        <w:jc w:val="center"/>
      </w:pPr>
      <w:r>
        <w:rPr>
          <w:sz w:val="22"/>
        </w:rPr>
        <w:t>Figura 10 – Círculo de correlação da análise de componentes principais das seis dimensões do BRUMS. A espessura de cada seta é proporcional à contribuição da variável ao plano dos dois primeiros componentes.</w:t>
      </w:r>
    </w:p>
    <w:p>
      <w:pPr>
        <w:spacing w:after="120"/>
        <w:jc w:val="center"/>
      </w:pPr>
      <w:r>
        <w:rPr>
          <w:sz w:val="18"/>
        </w:rPr>
        <w:t>Fonte: elaboração dos autores (2026).</w:t>
      </w:r>
    </w:p>
    <w:p>
      <w:pPr>
        <w:spacing w:before="200" w:after="80" w:line="360" w:lineRule="auto"/>
      </w:pPr>
      <w:r>
        <w:rPr>
          <w:b/>
          <w:sz w:val="24"/>
        </w:rPr>
        <w:t>5 DISCUSSÃO</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num microciclo de handebol, o comportamento já documentado em outras modalidades sob acúmulo de carga, em que o par vigor–fadiga se mostra o mais responsivo e antecede as demais dimensões (PIERCE, 2002; THORPE et al., 2017; FERREIRA et al., 2026).</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não se instalaram. Quando comparados à distribuição de referência de uma grande amostra brasileira, na qual o iceberg predomina e os perfis de risco são raros, os nossos dados partem de um predomínio semelhante de iceberg e elevam a barbatana de tubarão apenas ao fim da semana, o que evidencia o efeito específico do acúmulo de carga sobre o perfil de fadiga (PARSONS-SMITH; TERRY; MACHIN, 2017; DE MIRANDA ROHLFS et al., 2024). Assim, os perfis funcionam como uma linguagem direta de comunicação com a comissão técnica (HAN; PARSONS-SMITH; TERRY, 2020).</w:t>
      </w:r>
    </w:p>
    <w:p>
      <w:pPr>
        <w:spacing w:line="360" w:lineRule="auto" w:after="0"/>
        <w:ind w:firstLine="709"/>
        <w:jc w:val="both"/>
      </w:pPr>
      <w:r>
        <w:rPr>
          <w:b w:val="0"/>
          <w:sz w:val="24"/>
        </w:rPr>
        <w:t>Os tamanhos de efeito reforçam essa interpretação e delimitam o que é relevante no monitoramento. A magnitude foi grande na comparação entre o primeiro e o último dia do vigor e da fadiga, e permaneceu de pequena a moderada nas comparações entre todos os dias e entre pré e pós-treino, sempre concentrada no eixo energia–fadiga. A consistência interna adequada dessas duas dimensões, a sua correlação intraclasse de moderada a boa e a forte associação com a perturbação total do humor convergem para a mesma conclusão por caminhos independentes. As dimensões negativas, concentradas em valores baixos e com menor confiabilidade, contribuíram pouco para a variação, o que recomenda centrar o monitoramento rotineiro no par vigor–fadiga, sem que se abandone o registro das demais dimensões (ROHLFS et al., 2023; TERRY et al., 2021).</w:t>
      </w:r>
    </w:p>
    <w:p>
      <w:pPr>
        <w:spacing w:line="360" w:lineRule="auto" w:after="0"/>
        <w:ind w:firstLine="709"/>
        <w:jc w:val="both"/>
      </w:pPr>
      <w:r>
        <w:rPr>
          <w:b w:val="0"/>
          <w:sz w:val="24"/>
        </w:rPr>
        <w:t>As características do handebol ajudam a explicar esse comportamento. A modalidade impõe esforço intermitente de alta intensidade, com sprints curtos, mudanças de direção, saltos e contato, o que gera elevada demanda neuromuscular e psicofisiológica ao longo da semana e sustenta tanto a tendência de acúmulo quanto a resposta aguda observada entre o pré e o pós-treino (KARCHER; BUCHHEIT, 2014; GARCÍA-SÁNCHEZ et al., 2023). Estudos recentes na modalidade associam a carga a marcadores endócrinos e ao estado de humor e de estresse, o que reforça o valor do acompanhamento subjetivo como um marcador sensível e de baixo custo, complementar ao monitoramento fisiológico e de bem-estar praticado em esportes coletivos (BIRD et al., 2025; RATZ-SULYOK et al., 2026; DO NASCIMENTO et al., 2026).</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visual e direto da dinâmica do humor no handebol de elite e sustenta a recomendação prática de acompanhar o eixo energia–fadiga ao longo da semana, integrado a um monitoramento multidomínio do estado do atleta (KELLMANN et al., 2018;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