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 a comparação de cada dimensão do BRUMS entre todos os dias e a identificação dos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com um total de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o que indica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o que fundamenta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Apesar da ampla adoção da BRUMS, escasseiam descrições detalhadas do comportamento do humor ao longo de um microciclo pré-competitivo de handebol de elite — precisamente a fase de acumulação em que se instala o sobre-esforço funcional e na qual a triagem do estado psicofisiológico se torna mais decisiva. Diante dessa lacuna, o objetivo geral consistiu em caracterizar e analisar o perfil de humor desses atletas na última semana de pré-temporada, com atenção ao comportamento de cada dimensão do BRUMS, à comparação entre todos os dias, à identificação dos dias de maior e menor expressão de cada estado e à relação da resposta com a aptidão aeróbia intermitente. De modo específico, o estudo propôs-se a: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(x) caracterizar a sonolência e o estresse percebido e sua relação com o humor; e (xi) modelar a dinâmica temporal das trajetórias — taxa de variação, aceleração e cruzamento energia–fadiga —, com separação entre o sinal sistemático e o ruído amostral. Hipotetizou-se que a deterioração se concentraria no eixo energia–fadiga, com migração do perfil iceberg (prontidão) para o de barbatana de tubarão (fadiga funcional) e um cruzamento entre as trajetórias de vigor e fadiga ao longo da semana, e que a aptidão aeróbia intermitente modularia a magnitude dessa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de utilidade para a caracterização da amostra e ao ajuste alométrico do desempenho no T-CAR.</w:t>
      </w:r>
    </w:p>
    <w:p>
      <w:pPr>
        <w:spacing w:before="160" w:after="40"/>
      </w:pPr>
      <w:r>
        <w:rPr>
          <w:sz w:val="22"/>
        </w:rPr>
        <w:t>Tabela 1 – Inventário dos instrumentos: domínio avaliado, estrutura, amplitude e momento de coleta.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Instrumento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Domínio avaliado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Estrutura e amplitude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Coleta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BRUMS-24 (Escala de Humor de Brunel)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Humor: tensão, depressão, raiva, vigor, fadiga, confusão (+ PTH)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 itens (4 por subescala), 0–4 por item; subescalas 0–16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Baseline (1×) e pré/pós de cada treino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e mental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 percebida (física e mental)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 itens únicos, 0–10 cada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Junto ao diário eletrônico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Epworth (versão de 6 itens)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Sonolência diurna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 itens, 0–18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PSS-14 (Escala de Estresse Percebido)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Estresse percebido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 itens (7 de pontuação invertida), 0–56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Teste de Carminatti (T-CAR)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Aptidão aeróbia intermitente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Teste de campo progressivo e intermitente; pico de velocidade (km/h)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Salto vertical (CMJ)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Potência de membros inferiores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Altura do salto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Capacidade de sprints repetidos (componente anaeróbio)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 sprints; melhor tempo (s) e índice de fadiga %F; menor = melhor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Antropometria e dobras cutâneas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Composição corporal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Massa (kg), estatura (cm),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Monitoramento de carga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Carga interna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Frequência cardíaca, TRIMP e percepção de esforço (PSE)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Sessões de treino</w:t>
            </w:r>
          </w:p>
        </w:tc>
      </w:tr>
    </w:tbl>
    <w:p>
      <w:pPr>
        <w:spacing w:after="0"/>
      </w:pPr>
      <w:r>
        <w:rPr>
          <w:i/>
          <w:sz w:val="17"/>
        </w:rPr>
        <w:t>Autorrelato: BRUMS-24, fadiga física/mental, Epworth e PSS-14. Avaliações físicas: T-CAR, CMJ, sprints repetidos (Baker) e antropometria. PTH = Perturbação Total do Humor; PSE = percepção subjetiva de esforço;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 sintetiza os instrumentos empregados, o domínio de cada um, a sua estrutura e o momento de coleta.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com a escolha daquele de melhor compromisso entre ajuste e parcimônia pelo menor AIC/BIC, além do R² ajustado e do RMSE; para o modelo logístico, comparou-se ainda o preditor na escala bruta contra a logarítmica. A migração de perfil ao longo da semana foi testada como tendência por regressão logística da probabilidade de cada perfil (iceberg e barbatana de tubarão) em função do dia do microciclo, e modelou-se também a probabilidade de um dia de baixo vigor (tercil inferior) e a de exibir o perfil iceberg em função do pico de velocidade; os intervalos de confiança das razões de chances e das áreas sob a curva foram obtidos por reamostragem (bootstrap, 1000 repetições) de atletas, para acomodar a estrutura de medidas repetidas. Além do ponto de corte único, o pico de velocidade foi estratificado por dois limiares — os tercis de sua distribuição — em três faixas de aptidão, com a comparação da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 o contraste entre as associações do PV bruto e do PV normalizado com a fadiga e o vigor. A dinâmica temporal foi ainda modelada por meio do ajuste de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com a quantificação da razão sinal-ruído (SNR) e uma visualização suavizada das curvas. Para identificar os moduladores da magnitude dos efeitos, definiu-se o efeito agudo como a variação intrassessão (pós − pré) por atleta-dia e o efeito crônico como a inclinação semanal (taxa por dia) da média diária de cada dimensão; a associação de cada efeito com as características do atleta — aptidão aeróbia intermitente (PV), composição corporal, potência de membros inferiores (salto CMJ), sprints repetidos (Baker), sonolência, estresse e carga interna (TRIMP) — foi quantificada pela correlação de Pearson e pelo coeficiente de determinação (R²), além de modelos de regressão múltipla com coeficientes padronizados (β*); dado o número de testes, aplicou-se a correção de Holm para comparações múltiplas.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2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3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2) e com caracterização sociodemográfica e antropométrica compatível com a de handebolistas de nível competitivo (Tabela 3).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4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4),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5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5: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6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6):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7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7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8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8)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9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9;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10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10;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11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11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o que permite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12),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13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em recuo para 22% (Figura 11; Tabela 13).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60" w:after="40"/>
      </w:pPr>
      <w:r>
        <w:rPr>
          <w:sz w:val="22"/>
        </w:rPr>
        <w:t>Tabela 14 – Regressão logística da probabilidade de perfil de humor em função do dia do microciclo (tendência): razão de chances por dia, probabilidade prevista no Dia 1 e no Dia 7, discriminação 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(desfecho)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 por dia [IC95%]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 [0,81–1,05]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 [1,22–1,70]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0,047</w:t>
            </w:r>
          </w:p>
        </w:tc>
      </w:tr>
    </w:tbl>
    <w:p>
      <w:pPr>
        <w:spacing w:after="0"/>
      </w:pPr>
      <w:r>
        <w:rPr>
          <w:i/>
          <w:sz w:val="17"/>
        </w:rPr>
        <w:t>OR = razão de chances (odds ratio) por incremento de um dia; IC95% por reamostragem (bootstrap) de atletas; Pseudo-R² de McFadden. OR &gt; 1 indica aumento da chance do perfil ao longo da semana.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testar a migração de perfil como uma tendência ao longo da semana — e não pela via categórica de baixa potência do qui-quadrado —, ajustou-se uma regressão logística da probabilidade de cada perfil em função do dia do microciclo (Tabela 14). A chance do perfil de barbatana de tubarão cresceu de forma consistente a cada dia (OR = 1,37 por dia; IC95% 1,22–1,70), com a probabilidade prevista subindo de 0,04 no Dia 1 para 0,20 no Dia 7 — um aumento estatisticamente sustentado (o IC95% do OR exclui 1), que dá suporte inferencial à migração que o teste categórico não captara. Em espelho, a chance do perfil iceberg declinou ao longo da semana, embora sem significância (OR = 0,93 por dia; IC95% 0,81–1,05). O contraste confirma, no plano dos perfis, o mesmo eixo energia–fadiga: à medida que a semana avança, a prontidão cede lugar à assinatura de fadiga.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15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15.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16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16; Figura 14).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confirma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17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Dois limiares do pico de velocidade do T-CAR (14,4 e 15,1 km/h) que delimitam três faixas de aptidão (esquerda) e a prevalênciade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criando três faixas de aptidão com valor de decisão direto (Tabela 17; Figura 15).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e oferece à comissão técnica uma referência graduada, e não binária, para individualizar a carga e priorizar a recuperação dos atletas menos aptos.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curv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Curvas logísticas ajustadas: à esquerda, a probabilidade de um dia de fadiga elevada decresce com o pico de velocidade do T-CAR (pontos = proporção observada por faixa, tamanho proporcional ao n); à direita, a probabilidade do perfil barbatana de tubarão cresce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curvas logísticas ajustadas sintetizam, em forma gráfica, os dois modelos de probabilidade discutidos: a queda monotônica da chance de um dia de fadiga elevada à medida que aumenta o pico de velocidade e a elevação da chance do perfil de barbatana de tubarão ao longo dos dias (Figura 16).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18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18; Figura 17).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19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19)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o que confirma que os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20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20; Figura 18).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o que indica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21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21)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19). No primeiro dia, o vigor supera a fadiga por ampla margem (4,9 pontos); essa vantagem colapsa já no Dia 2, e as duas dimensões passam a se cruzar repetidamente na região central da semana — os pontos de interseção das funções ocorrem nos dias 2, 4, 6 — reflexo de um período em que energia e fadiga permanecem estatisticamente entrelaçadas. A partir do último cruzamento (Dia 6), a fadiga assume e se distancia do vigor, e encerra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22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Trajetórias diárias suavizadas: sinal (curva) sobreposto às médias diárias observadas (pontos), com separação entre a tendência e oruído.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22; Figura 20).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21 – Trajetórias individuais de vigor e fadiga por atleta (linhas finas) e a média do grupo (linha grossa), que expõem aheterogeneidade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com o ajuste, para cada participante, de sua própria trajetória ao longo da semana (Figura 21).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o que reforça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22 – Trajetória do grupo em 13 pontos temporais (baseline + pré e pós-treino de cada dia), com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 base nas duas coletas diárias dos dias de treino, a trajetória do grupo foi reconstruída em alta resolução, com 13 pontos temporais — a linha de base e os momentos pré e pós de cada um dos seis dias de treino (Figura 22).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23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23).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120" w:after="80" w:line="360" w:lineRule="auto"/>
      </w:pPr>
      <w:r>
        <w:rPr>
          <w:b/>
          <w:sz w:val="24"/>
        </w:rPr>
        <w:t>3.18 Moduladores da magnitude dos efeitos agudo e crônico</w:t>
      </w:r>
    </w:p>
    <w:p>
      <w:pPr>
        <w:spacing w:before="160" w:after="40"/>
      </w:pPr>
      <w:r>
        <w:rPr>
          <w:sz w:val="22"/>
        </w:rPr>
        <w:t>Tabela 24 – Moduladores da magnitude do efeito crônico (inclinação semanal): correlação (r) e coeficiente de determinação (R²) entre cada característica do atleta e a taxa de variação do vigor e da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Moderador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— r (R²)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— r (R²)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(PV T-CAR)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 (0,02)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-0,12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% de gordura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 (0,02)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-0,30 (0,09)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(CMJ)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-0,43 (0,18)*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(0,01)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Sonolência (Epworth)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+0,42 (0,17)*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Estresse (PSS-14)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+0,33 (0,11)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interna (TRIMP)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</w:tbl>
    <w:p>
      <w:pPr>
        <w:spacing w:after="0"/>
      </w:pPr>
      <w:r>
        <w:rPr>
          <w:i/>
          <w:sz w:val="17"/>
        </w:rPr>
        <w:t>r = correlação de Pearson; R² = coeficiente de determinação (variância explicada); * p &lt; 0,05 sem correção. Nenhuma associação sobrevive à correção de Holm para 48 testes. CMJ = salto vertical; Baker = melhor tempo em sprints repetidos (menor = melhor); TRIMP = carga interna.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dor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23 – Modulação da taxa semanal pelo perfil do atleta: à esquerda, o coeficiente de determinação (R²) de cada característica sobre a taxa do vigor (verde) e da fadiga (laranja) — a fadiga é praticamente não modulada; à direita, a taxa de queda do vigor decresce com a potência de membros inferiores (salto CMJ).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Uma questão aplicada relevante é saber quais características do atleta modulam a intensidade da resposta — e em que medida. A magnitude do efeito agudo (variação pré → pós) revelou-se estável e independente do perfil individual: a queda média do vigor (-0,92 ponto por sessão), a elevação da fadiga (+1,42) e a da PTH (+3,04) não se acentuaram ao longo da semana (tendência por dia: p ≥ 0,24) nem se vincularam de modo consistente à aptidão, à composição corporal, à potência, ao sono ou à carga interna — todos os coeficientes de determinação foram baixos (R² &lt; 0,09). O choque afetivo intrassessão comporta-se, portanto, como uma resposta estereotipada, compartilhada pelo grupo.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efeito crônico (inclinação semanal) exibiu modulação apenas parcial, restrita ao vigor (Tabela 24; Figura 23). A taxa de acúmulo de fadiga foi praticamente idêntica entre os atletas — nenhum moderador explicou fração relevante de sua variância (R² ≤ 0,02) —, ao passo que a taxa de queda do vigor associou-se à potência de membros inferiores (salto CMJ: r = -0,43; R² = 0,18) e, em menor grau, à sonolência: os atletas mais explosivos perderam vigor mais depressa. Um modelo de regressão múltipla com aptidão e potência explicou cerca de 23% da variância da taxa do vigor (R² = 0,23; R² ajustado = 0,14), com o maior peso padronizado atribuído à potência (β* = -0,45). Impõe-se, porém, cautela: entre os 48 testes de moderação, nenhuma associação resistiu à correção de Holm para comparações múltiplas, de sorte que esses vínculos permanecem exploratórios. Predomina, assim, uma resposta de humor amplamente independente das características individuais mensuradas — sobretudo no eixo da fadiga —, o que reforça o caráter geral e esperado da reação à carga da pré-temporada.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 e oferece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que a regressão logística de tendência confirmou para o perfil de barbatana de tubarão, cuja chance cresceu cerca de 37% por dia (OR = 1,37 por dia; IC95% exclui 1), ainda que a via categórica do qui-quadrado, de menor potência, não a tenha detectado — reproduz, em um microciclo de handebol, o “derretimento do iceberg” descrito na literatura de sobrecarga (MORGAN, 1985; HAN; PARSONS-SMITH; TERRY, 2020).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elevação da sonolência ao término da semana, sem alteração do estresse percebido, respalda essa leitura: a perturbação nasceu da carga física e da restauração incompleta entre as sessões, não de um estressor psicossocial concomitante. O acoplamento crescente entre o afeto negativo e a fadiga, do primeiro ao último dia, acompanha essa transição de um estado diferenciado para um estado integrado de estresse, no qual as respostas afetivas convergem sob um substrato central comum — leitura que o próprio delineamento sustenta, uma vez que os marcadores medidos (humor, sono e estresse) apontam para a mesma origem na carga de treino.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dos moduladores refina esse entendimento e traz uma mensagem de utilidade prática. A magnitude tanto do choque agudo quanto da deriva crônica mostrou-se, em larga medida, independente do perfil do atleta: nenhum dos preditores — aptidão, composição corporal, potência, sono, estresse ou carga interna — explicou parcela expressiva da variância, e nenhuma associação resistiu à correção para comparações múltiplas. A taxa de acúmulo de fadiga, em especial, revelou-se homogênea entre os atletas, o que sugere uma resposta obrigatória e comum à carga da pré-temporada — coerente com a leitura de um sobre-esforço funcional que atinge o grupo de maneira relativamente uniforme. A única modulação digna de nota, ainda que exploratória, recaiu sobre a taxa de queda do vigor, associada à potência de membros inferiores: os atletas mais explosivos perderam energia mais depressa, padrão compatível com a hipótese de que perfis de maior demanda neuromuscular acumulam fadiga central e periférica com maior rapidez sob um bloco de acumulação aeróbia. Do ponto de vista aplicado, a baixa modulação reforça que a vigilância do humor deve ser universal na equipe — e não reservada a subgrupos supostamente mais vulneráveis —, embora o eixo do vigor mereça atenção adicional nos atletas de perfil mais potente.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 que a articulam à aptidão aeróbia intermitente em uma modalidade coletiva de invasão.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pois acelera a recuperação entre as ações e retarda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o que evidencia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o que revela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com preferência pelo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carga: elevou-se rumo ao último dia e associou-se, entre os atletas, a mais fadiga e a um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transitou da prontidão para a fadiga: o vigor recuou e a fadiga avançou, do primeiro ao último dia e no interior de cada sessão, com confirmação pelas comparações entre todos os dias e pela análise multivariada. A modelagem das trajetórias situou o cruzamento entre vigor e fadiga na metade da semana e restringiu o sinal robusto ao eixo energia–fadiga, ao passo que as demais dimensões, próximas do piso, pouco informaram. O conjunto — deterioração limitada ao eixo energético, sem instalação dos perfis de risco à saúde mental e sem aumento do estresse psicossocial — corresponde a um sobre-esforço funcional, ou seja, a uma fadiga esperada e reversível, própria de uma fase de acumulação. A aptidão aeróbia intermitente atenuou essa resposta: os atletas mais aptos exibiram mais vigor e menos fadiga, e dois limiares de pico de velocidade delimitaram faixas de risco úteis à individualização da carga. Recomenda-se, portanto, o acompanhamento contínuo do humor na pré-temporada, com atenção primordial ao eixo energia–fadiga e à sua restauração na transição para o afinamento.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