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quantificando a razão sinal-ruído (SNR) e permitindo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17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17)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16). No primeiro dia, o vigor supera a fadiga por ampla margem (4,9 pontos); essa vantagem colapsa já no Dia 2, e as duas dimensões passam a se cruzar repetidamente na região central da semana — os pontos de interseção das funções ocorrem nos dias 2, 4, 6 — refletindo um período em que energia e fadiga ficam estatisticamente entrelaçadas. A partir do último cruzamento (Dia 6), a fadiga assume e se distancia do vigor, encerrando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18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18; Figura 17).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Trajetórias individuais de vigor e fadiga por atleta (linhas finas) e a média do grupo (linha grossa), evidenciando a 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ajustando-se a cada participante a sua própria trajetória ao longo da semana (Figura 18).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reforçando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Trajetória do grupo em 13 pontos temporais (baseline + pré e pós-treino de cada dia), revelando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Aproveitando as duas coletas diárias dos dias de treino, a trajetória do grupo foi reconstruída em alta resolução, com 13 pontos temporais — a linha de base e os momentos pré e pós de cada um dos seis dias de treino (Figura %d).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19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19).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