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o que recomenda centrar o monitoramento do humor no eixo energia–fadiga.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Diante dessa lacuna,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8;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9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9;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10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10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11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11),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12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12).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13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13).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14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14;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15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15)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16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16;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17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17).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esse o nicho do presente estudo, cuja abordagem temporal e multivariada oferece um retrato mais fino da dinâmica afetiva do que o instantâneo pré-competitivo predominante, e sinaliza um caminho para o monitoramento intramicrociclo em esportes de rendimento.</w:t>
      </w:r>
    </w:p>
    <w:p>
      <w:pPr>
        <w:spacing w:line="360" w:lineRule="auto" w:after="120"/>
        <w:ind w:firstLine="709"/>
        <w:jc w:val="both"/>
      </w:pPr>
      <w:r>
        <w:rPr>
          <w:b w:val="0"/>
          <w:sz w:val="24"/>
        </w:rPr>
        <w:t>Algumas limitações devem ser consideradas na interpretação dos achados. O tamanho amostral (27 atletas) e o desenho observacional de fase única não permitem inferência causal sobre a carga, e as dimensões negativas, próximas do piso, apresentam variância e fidedignidade reduzidas, o que limita a leitura de suas pequenas variações. A conversão dos escores T foi referenciada à própria amostra — e não a tabelas normativas nacionais de atletas —, o que recomenda cautela na comparação absoluta de prevalências entre estudos e na classificação estrita dos perfis.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