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e a autoavaliações de fadiga física e mental duas vezes ao dia — a primeira coleta (pré) e a última (pós) — durante sete dias (456 observações), com análise descritiva, comparação do grupo entre a linha de base (Dia 1, pré) e o último dia (Dia 7, pós), regressão linear, derivadas, decomposição da variância e pontos de inflexão. Resultados: o humor deteriorou-se de forma concentrada no eixo energia–fadiga — da linha de base ao final, o vigor caiu 47% (dz = −1,02) e a fadiga física (+129%; dz = +2,12) e a fadiga do BRUMS (+116%; dz = +0,78) aumentaram, sendo a fadiga física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Atletas saudáveis tendem a exibir o perfil iceberg, com vigor elevado destacando-se acima das dimensões negativas (MORGAN, 1985); o achatamento desse perfil indica fadiga acumulada.</w:t>
      </w:r>
    </w:p>
    <w:p>
      <w:pPr>
        <w:spacing w:line="360" w:lineRule="auto"/>
        <w:ind w:firstLine="709"/>
        <w:jc w:val="both"/>
      </w:pPr>
      <w:r>
        <w:rPr>
          <w:rFonts w:ascii="Times New Roman" w:hAnsi="Times New Roman"/>
          <w:b w:val="0"/>
          <w:i w:val="0"/>
          <w:sz w:val="24"/>
        </w:rPr>
        <w:t>Este estudo tem por objetivo avaliar e classificar o perfil de humor de atletas de handebol durante a última semana da pré-temporada competitiva, descrevendo o comportamento geral do grupo por variável, a variação da linha de base (Dia 1, pré) ao último dia (Dia 7, pós), a resposta pré→pós e a sensibilidade relativa das variáveis, com aprofundamento por regressão,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no qual a comissão técnica busca dissipar a fadiga acumulada preservando as adaptações, de modo a maximizar a prontidão para competir. O manejo inadequado da carga pode deteriorar o humor e sinalizar recuperação incompleta; ainda assim, o comportamento do humor nessa janela raramente é caracterizado de forma estruturada. Descrevê-lo quantitativamente — identificando quais variáveis são mais sensíveis e em que momento a trajetória se inflete — oferece subsídios objetivos para individualizar a recuperação.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a Perturbação Total do Humor, PTH = negativas − vigor) e a fadiga física e mental por escalas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 limites (amplitude); a variação da linha de base (Dia 1, pré) ao último dia (Dia 7, pós) e a resposta pré→pós foram avaliadas por Wilcoxon pareado com tamanho de efeito (dz); a tendência semanal por regressão linear (coeficiente por dia e R²). A forma da trajetória foi caracterizada por ajuste cúbico das médias diárias (velocidade, aceleração e ponto de inflexão) e por suavização LOWESS; a variância foi decomposta em sinal da semana, traço e ruído, derivando-se a relação sinal-ruído (SNR). Adotou-se α = 0,05.</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da amostra</w:t>
      </w:r>
    </w:p>
    <w:p>
      <w:pPr>
        <w:spacing w:before="120" w:line="240" w:lineRule="auto"/>
        <w:jc w:val="left"/>
      </w:pPr>
      <w:r>
        <w:rPr>
          <w:rFonts w:ascii="Times New Roman" w:hAnsi="Times New Roman"/>
          <w:b w:val="0"/>
          <w:i w:val="0"/>
          <w:sz w:val="20"/>
        </w:rPr>
        <w:t>Tabela 1 – Caracterização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4702"/>
        <w:gridCol w:w="4702"/>
      </w:tblGrid>
      <w:tr>
        <w:tc>
          <w:tcPr>
            <w:tcW w:type="dxa" w:w="4702"/>
          </w:tcPr>
          <w:p>
            <w:r>
              <w:rPr>
                <w:rFonts w:ascii="Times New Roman" w:hAnsi="Times New Roman"/>
                <w:b/>
                <w:i w:val="0"/>
                <w:sz w:val="19"/>
              </w:rPr>
              <w:t>Variável</w:t>
            </w:r>
          </w:p>
        </w:tc>
        <w:tc>
          <w:tcPr>
            <w:tcW w:type="dxa" w:w="4702"/>
          </w:tcPr>
          <w:p>
            <w:r>
              <w:rPr>
                <w:rFonts w:ascii="Times New Roman" w:hAnsi="Times New Roman"/>
                <w:b/>
                <w:i w:val="0"/>
                <w:sz w:val="19"/>
              </w:rPr>
              <w:t>Média ± DP (amplitude)</w:t>
            </w:r>
          </w:p>
        </w:tc>
      </w:tr>
      <w:tr>
        <w:tc>
          <w:tcPr>
            <w:tcW w:type="dxa" w:w="4702"/>
          </w:tcPr>
          <w:p>
            <w:r>
              <w:rPr>
                <w:rFonts w:ascii="Times New Roman" w:hAnsi="Times New Roman"/>
                <w:b w:val="0"/>
                <w:i w:val="0"/>
                <w:sz w:val="19"/>
              </w:rPr>
              <w:t>Idade (anos)</w:t>
            </w:r>
          </w:p>
        </w:tc>
        <w:tc>
          <w:tcPr>
            <w:tcW w:type="dxa" w:w="4702"/>
          </w:tcPr>
          <w:p>
            <w:r>
              <w:rPr>
                <w:rFonts w:ascii="Times New Roman" w:hAnsi="Times New Roman"/>
                <w:b w:val="0"/>
                <w:i w:val="0"/>
                <w:sz w:val="19"/>
              </w:rPr>
              <w:t>22 ± 4 (17–38)</w:t>
            </w:r>
          </w:p>
        </w:tc>
      </w:tr>
      <w:tr>
        <w:tc>
          <w:tcPr>
            <w:tcW w:type="dxa" w:w="4702"/>
          </w:tcPr>
          <w:p>
            <w:r>
              <w:rPr>
                <w:rFonts w:ascii="Times New Roman" w:hAnsi="Times New Roman"/>
                <w:b w:val="0"/>
                <w:i w:val="0"/>
                <w:sz w:val="19"/>
              </w:rPr>
              <w:t>Experiência (anos)</w:t>
            </w:r>
          </w:p>
        </w:tc>
        <w:tc>
          <w:tcPr>
            <w:tcW w:type="dxa" w:w="4702"/>
          </w:tcPr>
          <w:p>
            <w:r>
              <w:rPr>
                <w:rFonts w:ascii="Times New Roman" w:hAnsi="Times New Roman"/>
                <w:b w:val="0"/>
                <w:i w:val="0"/>
                <w:sz w:val="19"/>
              </w:rPr>
              <w:t>10,5 ± 3,8</w:t>
            </w:r>
          </w:p>
        </w:tc>
      </w:tr>
      <w:tr>
        <w:tc>
          <w:tcPr>
            <w:tcW w:type="dxa" w:w="4702"/>
          </w:tcPr>
          <w:p>
            <w:r>
              <w:rPr>
                <w:rFonts w:ascii="Times New Roman" w:hAnsi="Times New Roman"/>
                <w:b w:val="0"/>
                <w:i w:val="0"/>
                <w:sz w:val="19"/>
              </w:rPr>
              <w:t>Estatura (cm)</w:t>
            </w:r>
          </w:p>
        </w:tc>
        <w:tc>
          <w:tcPr>
            <w:tcW w:type="dxa" w:w="4702"/>
          </w:tcPr>
          <w:p>
            <w:r>
              <w:rPr>
                <w:rFonts w:ascii="Times New Roman" w:hAnsi="Times New Roman"/>
                <w:b w:val="0"/>
                <w:i w:val="0"/>
                <w:sz w:val="19"/>
              </w:rPr>
              <w:t>182,5 ± 6,5</w:t>
            </w:r>
          </w:p>
        </w:tc>
      </w:tr>
      <w:tr>
        <w:tc>
          <w:tcPr>
            <w:tcW w:type="dxa" w:w="4702"/>
          </w:tcPr>
          <w:p>
            <w:r>
              <w:rPr>
                <w:rFonts w:ascii="Times New Roman" w:hAnsi="Times New Roman"/>
                <w:b w:val="0"/>
                <w:i w:val="0"/>
                <w:sz w:val="19"/>
              </w:rPr>
              <w:t>Massa corporal (kg)</w:t>
            </w:r>
          </w:p>
        </w:tc>
        <w:tc>
          <w:tcPr>
            <w:tcW w:type="dxa" w:w="4702"/>
          </w:tcPr>
          <w:p>
            <w:r>
              <w:rPr>
                <w:rFonts w:ascii="Times New Roman" w:hAnsi="Times New Roman"/>
                <w:b w:val="0"/>
                <w:i w:val="0"/>
                <w:sz w:val="19"/>
              </w:rPr>
              <w:t>85,8 ± 15,7</w:t>
            </w:r>
          </w:p>
        </w:tc>
      </w:tr>
      <w:tr>
        <w:tc>
          <w:tcPr>
            <w:tcW w:type="dxa" w:w="4702"/>
          </w:tcPr>
          <w:p>
            <w:r>
              <w:rPr>
                <w:rFonts w:ascii="Times New Roman" w:hAnsi="Times New Roman"/>
                <w:b w:val="0"/>
                <w:i w:val="0"/>
                <w:sz w:val="19"/>
              </w:rPr>
              <w:t>Gordura corporal (%)</w:t>
            </w:r>
          </w:p>
        </w:tc>
        <w:tc>
          <w:tcPr>
            <w:tcW w:type="dxa" w:w="4702"/>
          </w:tcPr>
          <w:p>
            <w:r>
              <w:rPr>
                <w:rFonts w:ascii="Times New Roman" w:hAnsi="Times New Roman"/>
                <w:b w:val="0"/>
                <w:i w:val="0"/>
                <w:sz w:val="19"/>
              </w:rPr>
              <w:t>11,6 ± 5,3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w:t>
      </w:r>
    </w:p>
    <w:p>
      <w:pPr>
        <w:spacing w:before="120" w:after="40"/>
        <w:jc w:val="left"/>
      </w:pPr>
      <w:r>
        <w:rPr>
          <w:rFonts w:ascii="Times New Roman" w:hAnsi="Times New Roman"/>
          <w:b/>
          <w:i w:val="0"/>
          <w:sz w:val="24"/>
        </w:rPr>
        <w:t>4.2 Estatística descritiva, distribuição e tendência</w:t>
      </w:r>
    </w:p>
    <w:p>
      <w:pPr>
        <w:spacing w:before="120" w:line="240" w:lineRule="auto"/>
        <w:jc w:val="left"/>
      </w:pPr>
      <w:r>
        <w:rPr>
          <w:rFonts w:ascii="Times New Roman" w:hAnsi="Times New Roman"/>
          <w:b w:val="0"/>
          <w:i w:val="0"/>
          <w:sz w:val="20"/>
        </w:rPr>
        <w:t>Tabela 2 – Estatística descritiva e limites (amplitude)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9"/>
              </w:rPr>
              <w:t>Variável</w:t>
            </w:r>
          </w:p>
        </w:tc>
        <w:tc>
          <w:tcPr>
            <w:tcW w:type="dxa" w:w="1881"/>
          </w:tcPr>
          <w:p>
            <w:r>
              <w:rPr>
                <w:rFonts w:ascii="Times New Roman" w:hAnsi="Times New Roman"/>
                <w:b/>
                <w:i w:val="0"/>
                <w:sz w:val="19"/>
              </w:rPr>
              <w:t>M ± DP</w:t>
            </w:r>
          </w:p>
        </w:tc>
        <w:tc>
          <w:tcPr>
            <w:tcW w:type="dxa" w:w="1881"/>
          </w:tcPr>
          <w:p>
            <w:r>
              <w:rPr>
                <w:rFonts w:ascii="Times New Roman" w:hAnsi="Times New Roman"/>
                <w:b/>
                <w:i w:val="0"/>
                <w:sz w:val="19"/>
              </w:rPr>
              <w:t>Mediana [IIQ]</w:t>
            </w:r>
          </w:p>
        </w:tc>
        <w:tc>
          <w:tcPr>
            <w:tcW w:type="dxa" w:w="1881"/>
          </w:tcPr>
          <w:p>
            <w:r>
              <w:rPr>
                <w:rFonts w:ascii="Times New Roman" w:hAnsi="Times New Roman"/>
                <w:b/>
                <w:i w:val="0"/>
                <w:sz w:val="19"/>
              </w:rPr>
              <w:t>Mín.–Máx.</w:t>
            </w:r>
          </w:p>
        </w:tc>
        <w:tc>
          <w:tcPr>
            <w:tcW w:type="dxa" w:w="1881"/>
          </w:tcPr>
          <w:p>
            <w:r>
              <w:rPr>
                <w:rFonts w:ascii="Times New Roman" w:hAnsi="Times New Roman"/>
                <w:b/>
                <w:i w:val="0"/>
                <w:sz w:val="19"/>
              </w:rPr>
              <w:t>Amplitude</w:t>
            </w:r>
          </w:p>
        </w:tc>
      </w:tr>
      <w:tr>
        <w:tc>
          <w:tcPr>
            <w:tcW w:type="dxa" w:w="1881"/>
          </w:tcPr>
          <w:p>
            <w:r>
              <w:rPr>
                <w:rFonts w:ascii="Times New Roman" w:hAnsi="Times New Roman"/>
                <w:b w:val="0"/>
                <w:i w:val="0"/>
                <w:sz w:val="19"/>
              </w:rPr>
              <w:t>Vigor</w:t>
            </w:r>
          </w:p>
        </w:tc>
        <w:tc>
          <w:tcPr>
            <w:tcW w:type="dxa" w:w="1881"/>
          </w:tcPr>
          <w:p>
            <w:r>
              <w:rPr>
                <w:rFonts w:ascii="Times New Roman" w:hAnsi="Times New Roman"/>
                <w:b w:val="0"/>
                <w:i w:val="0"/>
                <w:sz w:val="19"/>
              </w:rPr>
              <w:t>5,70 ± 3,32</w:t>
            </w:r>
          </w:p>
        </w:tc>
        <w:tc>
          <w:tcPr>
            <w:tcW w:type="dxa" w:w="1881"/>
          </w:tcPr>
          <w:p>
            <w:r>
              <w:rPr>
                <w:rFonts w:ascii="Times New Roman" w:hAnsi="Times New Roman"/>
                <w:b w:val="0"/>
                <w:i w:val="0"/>
                <w:sz w:val="19"/>
              </w:rPr>
              <w:t>6,0 [5,0]</w:t>
            </w:r>
          </w:p>
        </w:tc>
        <w:tc>
          <w:tcPr>
            <w:tcW w:type="dxa" w:w="1881"/>
          </w:tcPr>
          <w:p>
            <w:r>
              <w:rPr>
                <w:rFonts w:ascii="Times New Roman" w:hAnsi="Times New Roman"/>
                <w:b w:val="0"/>
                <w:i w:val="0"/>
                <w:sz w:val="19"/>
              </w:rPr>
              <w:t>0–15</w:t>
            </w:r>
          </w:p>
        </w:tc>
        <w:tc>
          <w:tcPr>
            <w:tcW w:type="dxa" w:w="1881"/>
          </w:tcPr>
          <w:p>
            <w:r>
              <w:rPr>
                <w:rFonts w:ascii="Times New Roman" w:hAnsi="Times New Roman"/>
                <w:b w:val="0"/>
                <w:i w:val="0"/>
                <w:sz w:val="19"/>
              </w:rPr>
              <w:t>15</w:t>
            </w:r>
          </w:p>
        </w:tc>
      </w:tr>
      <w:tr>
        <w:tc>
          <w:tcPr>
            <w:tcW w:type="dxa" w:w="1881"/>
          </w:tcPr>
          <w:p>
            <w:r>
              <w:rPr>
                <w:rFonts w:ascii="Times New Roman" w:hAnsi="Times New Roman"/>
                <w:b w:val="0"/>
                <w:i w:val="0"/>
                <w:sz w:val="19"/>
              </w:rPr>
              <w:t>Fadiga (BRUMS)</w:t>
            </w:r>
          </w:p>
        </w:tc>
        <w:tc>
          <w:tcPr>
            <w:tcW w:type="dxa" w:w="1881"/>
          </w:tcPr>
          <w:p>
            <w:r>
              <w:rPr>
                <w:rFonts w:ascii="Times New Roman" w:hAnsi="Times New Roman"/>
                <w:b w:val="0"/>
                <w:i w:val="0"/>
                <w:sz w:val="19"/>
              </w:rPr>
              <w:t>5,41 ± 4,04</w:t>
            </w:r>
          </w:p>
        </w:tc>
        <w:tc>
          <w:tcPr>
            <w:tcW w:type="dxa" w:w="1881"/>
          </w:tcPr>
          <w:p>
            <w:r>
              <w:rPr>
                <w:rFonts w:ascii="Times New Roman" w:hAnsi="Times New Roman"/>
                <w:b w:val="0"/>
                <w:i w:val="0"/>
                <w:sz w:val="19"/>
              </w:rPr>
              <w:t>4,0 [6,0]</w:t>
            </w:r>
          </w:p>
        </w:tc>
        <w:tc>
          <w:tcPr>
            <w:tcW w:type="dxa" w:w="1881"/>
          </w:tcPr>
          <w:p>
            <w:r>
              <w:rPr>
                <w:rFonts w:ascii="Times New Roman" w:hAnsi="Times New Roman"/>
                <w:b w:val="0"/>
                <w:i w:val="0"/>
                <w:sz w:val="19"/>
              </w:rPr>
              <w:t>0–16</w:t>
            </w:r>
          </w:p>
        </w:tc>
        <w:tc>
          <w:tcPr>
            <w:tcW w:type="dxa" w:w="1881"/>
          </w:tcPr>
          <w:p>
            <w:r>
              <w:rPr>
                <w:rFonts w:ascii="Times New Roman" w:hAnsi="Times New Roman"/>
                <w:b w:val="0"/>
                <w:i w:val="0"/>
                <w:sz w:val="19"/>
              </w:rPr>
              <w:t>16</w:t>
            </w:r>
          </w:p>
        </w:tc>
      </w:tr>
      <w:tr>
        <w:tc>
          <w:tcPr>
            <w:tcW w:type="dxa" w:w="1881"/>
          </w:tcPr>
          <w:p>
            <w:r>
              <w:rPr>
                <w:rFonts w:ascii="Times New Roman" w:hAnsi="Times New Roman"/>
                <w:b w:val="0"/>
                <w:i w:val="0"/>
                <w:sz w:val="19"/>
              </w:rPr>
              <w:t>Fadiga física</w:t>
            </w:r>
          </w:p>
        </w:tc>
        <w:tc>
          <w:tcPr>
            <w:tcW w:type="dxa" w:w="1881"/>
          </w:tcPr>
          <w:p>
            <w:r>
              <w:rPr>
                <w:rFonts w:ascii="Times New Roman" w:hAnsi="Times New Roman"/>
                <w:b w:val="0"/>
                <w:i w:val="0"/>
                <w:sz w:val="19"/>
              </w:rPr>
              <w:t>5,88 ± 2,46</w:t>
            </w:r>
          </w:p>
        </w:tc>
        <w:tc>
          <w:tcPr>
            <w:tcW w:type="dxa" w:w="1881"/>
          </w:tcPr>
          <w:p>
            <w:r>
              <w:rPr>
                <w:rFonts w:ascii="Times New Roman" w:hAnsi="Times New Roman"/>
                <w:b w:val="0"/>
                <w:i w:val="0"/>
                <w:sz w:val="19"/>
              </w:rPr>
              <w:t>6,0 [4,0]</w:t>
            </w:r>
          </w:p>
        </w:tc>
        <w:tc>
          <w:tcPr>
            <w:tcW w:type="dxa" w:w="1881"/>
          </w:tcPr>
          <w:p>
            <w:r>
              <w:rPr>
                <w:rFonts w:ascii="Times New Roman" w:hAnsi="Times New Roman"/>
                <w:b w:val="0"/>
                <w:i w:val="0"/>
                <w:sz w:val="19"/>
              </w:rPr>
              <w:t>0–10</w:t>
            </w:r>
          </w:p>
        </w:tc>
        <w:tc>
          <w:tcPr>
            <w:tcW w:type="dxa" w:w="1881"/>
          </w:tcPr>
          <w:p>
            <w:r>
              <w:rPr>
                <w:rFonts w:ascii="Times New Roman" w:hAnsi="Times New Roman"/>
                <w:b w:val="0"/>
                <w:i w:val="0"/>
                <w:sz w:val="19"/>
              </w:rPr>
              <w:t>10</w:t>
            </w:r>
          </w:p>
        </w:tc>
      </w:tr>
      <w:tr>
        <w:tc>
          <w:tcPr>
            <w:tcW w:type="dxa" w:w="1881"/>
          </w:tcPr>
          <w:p>
            <w:r>
              <w:rPr>
                <w:rFonts w:ascii="Times New Roman" w:hAnsi="Times New Roman"/>
                <w:b w:val="0"/>
                <w:i w:val="0"/>
                <w:sz w:val="19"/>
              </w:rPr>
              <w:t>Fadiga mental</w:t>
            </w:r>
          </w:p>
        </w:tc>
        <w:tc>
          <w:tcPr>
            <w:tcW w:type="dxa" w:w="1881"/>
          </w:tcPr>
          <w:p>
            <w:r>
              <w:rPr>
                <w:rFonts w:ascii="Times New Roman" w:hAnsi="Times New Roman"/>
                <w:b w:val="0"/>
                <w:i w:val="0"/>
                <w:sz w:val="19"/>
              </w:rPr>
              <w:t>4,62 ± 2,85</w:t>
            </w:r>
          </w:p>
        </w:tc>
        <w:tc>
          <w:tcPr>
            <w:tcW w:type="dxa" w:w="1881"/>
          </w:tcPr>
          <w:p>
            <w:r>
              <w:rPr>
                <w:rFonts w:ascii="Times New Roman" w:hAnsi="Times New Roman"/>
                <w:b w:val="0"/>
                <w:i w:val="0"/>
                <w:sz w:val="19"/>
              </w:rPr>
              <w:t>5,0 [5,0]</w:t>
            </w:r>
          </w:p>
        </w:tc>
        <w:tc>
          <w:tcPr>
            <w:tcW w:type="dxa" w:w="1881"/>
          </w:tcPr>
          <w:p>
            <w:r>
              <w:rPr>
                <w:rFonts w:ascii="Times New Roman" w:hAnsi="Times New Roman"/>
                <w:b w:val="0"/>
                <w:i w:val="0"/>
                <w:sz w:val="19"/>
              </w:rPr>
              <w:t>0–10</w:t>
            </w:r>
          </w:p>
        </w:tc>
        <w:tc>
          <w:tcPr>
            <w:tcW w:type="dxa" w:w="1881"/>
          </w:tcPr>
          <w:p>
            <w:r>
              <w:rPr>
                <w:rFonts w:ascii="Times New Roman" w:hAnsi="Times New Roman"/>
                <w:b w:val="0"/>
                <w:i w:val="0"/>
                <w:sz w:val="19"/>
              </w:rPr>
              <w:t>10</w:t>
            </w:r>
          </w:p>
        </w:tc>
      </w:tr>
      <w:tr>
        <w:tc>
          <w:tcPr>
            <w:tcW w:type="dxa" w:w="1881"/>
          </w:tcPr>
          <w:p>
            <w:r>
              <w:rPr>
                <w:rFonts w:ascii="Times New Roman" w:hAnsi="Times New Roman"/>
                <w:b w:val="0"/>
                <w:i w:val="0"/>
                <w:sz w:val="19"/>
              </w:rPr>
              <w:t>PTH/TMD</w:t>
            </w:r>
          </w:p>
        </w:tc>
        <w:tc>
          <w:tcPr>
            <w:tcW w:type="dxa" w:w="1881"/>
          </w:tcPr>
          <w:p>
            <w:r>
              <w:rPr>
                <w:rFonts w:ascii="Times New Roman" w:hAnsi="Times New Roman"/>
                <w:b w:val="0"/>
                <w:i w:val="0"/>
                <w:sz w:val="19"/>
              </w:rPr>
              <w:t>4,39 ± 10,07</w:t>
            </w:r>
          </w:p>
        </w:tc>
        <w:tc>
          <w:tcPr>
            <w:tcW w:type="dxa" w:w="1881"/>
          </w:tcPr>
          <w:p>
            <w:r>
              <w:rPr>
                <w:rFonts w:ascii="Times New Roman" w:hAnsi="Times New Roman"/>
                <w:b w:val="0"/>
                <w:i w:val="0"/>
                <w:sz w:val="19"/>
              </w:rPr>
              <w:t>2,0 [11,0]</w:t>
            </w:r>
          </w:p>
        </w:tc>
        <w:tc>
          <w:tcPr>
            <w:tcW w:type="dxa" w:w="1881"/>
          </w:tcPr>
          <w:p>
            <w:r>
              <w:rPr>
                <w:rFonts w:ascii="Times New Roman" w:hAnsi="Times New Roman"/>
                <w:b w:val="0"/>
                <w:i w:val="0"/>
                <w:sz w:val="19"/>
              </w:rPr>
              <w:t>-12–52</w:t>
            </w:r>
          </w:p>
        </w:tc>
        <w:tc>
          <w:tcPr>
            <w:tcW w:type="dxa" w:w="1881"/>
          </w:tcPr>
          <w:p>
            <w:r>
              <w:rPr>
                <w:rFonts w:ascii="Times New Roman" w:hAnsi="Times New Roman"/>
                <w:b w:val="0"/>
                <w:i w:val="0"/>
                <w:sz w:val="19"/>
              </w:rPr>
              <w:t>64</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9"/>
              </w:rPr>
              <w:t>Variável</w:t>
            </w:r>
          </w:p>
        </w:tc>
        <w:tc>
          <w:tcPr>
            <w:tcW w:type="dxa" w:w="2351"/>
          </w:tcPr>
          <w:p>
            <w:r>
              <w:rPr>
                <w:rFonts w:ascii="Times New Roman" w:hAnsi="Times New Roman"/>
                <w:b/>
                <w:i w:val="0"/>
                <w:sz w:val="19"/>
              </w:rPr>
              <w:t>Coef./dia (b)</w:t>
            </w:r>
          </w:p>
        </w:tc>
        <w:tc>
          <w:tcPr>
            <w:tcW w:type="dxa" w:w="2351"/>
          </w:tcPr>
          <w:p>
            <w:r>
              <w:rPr>
                <w:rFonts w:ascii="Times New Roman" w:hAnsi="Times New Roman"/>
                <w:b/>
                <w:i w:val="0"/>
                <w:sz w:val="19"/>
              </w:rPr>
              <w:t>R²</w:t>
            </w:r>
          </w:p>
        </w:tc>
        <w:tc>
          <w:tcPr>
            <w:tcW w:type="dxa" w:w="2351"/>
          </w:tcPr>
          <w:p>
            <w:r>
              <w:rPr>
                <w:rFonts w:ascii="Times New Roman" w:hAnsi="Times New Roman"/>
                <w:b/>
                <w:i w:val="0"/>
                <w:sz w:val="19"/>
              </w:rPr>
              <w:t>p</w:t>
            </w:r>
          </w:p>
        </w:tc>
      </w:tr>
      <w:tr>
        <w:tc>
          <w:tcPr>
            <w:tcW w:type="dxa" w:w="2351"/>
          </w:tcPr>
          <w:p>
            <w:r>
              <w:rPr>
                <w:rFonts w:ascii="Times New Roman" w:hAnsi="Times New Roman"/>
                <w:b w:val="0"/>
                <w:i w:val="0"/>
                <w:sz w:val="19"/>
              </w:rPr>
              <w:t>Vigor</w:t>
            </w:r>
          </w:p>
        </w:tc>
        <w:tc>
          <w:tcPr>
            <w:tcW w:type="dxa" w:w="2351"/>
          </w:tcPr>
          <w:p>
            <w:r>
              <w:rPr>
                <w:rFonts w:ascii="Times New Roman" w:hAnsi="Times New Roman"/>
                <w:b w:val="0"/>
                <w:i w:val="0"/>
                <w:sz w:val="19"/>
              </w:rPr>
              <w:t>-0,270</w:t>
            </w:r>
          </w:p>
        </w:tc>
        <w:tc>
          <w:tcPr>
            <w:tcW w:type="dxa" w:w="2351"/>
          </w:tcPr>
          <w:p>
            <w:r>
              <w:rPr>
                <w:rFonts w:ascii="Times New Roman" w:hAnsi="Times New Roman"/>
                <w:b w:val="0"/>
                <w:i w:val="0"/>
                <w:sz w:val="19"/>
              </w:rPr>
              <w:t>0,026</w:t>
            </w:r>
          </w:p>
        </w:tc>
        <w:tc>
          <w:tcPr>
            <w:tcW w:type="dxa" w:w="2351"/>
          </w:tcPr>
          <w:p>
            <w:r>
              <w:rPr>
                <w:rFonts w:ascii="Times New Roman" w:hAnsi="Times New Roman"/>
                <w:b w:val="0"/>
                <w:i w:val="0"/>
                <w:sz w:val="19"/>
              </w:rPr>
              <w:t>0,0052</w:t>
            </w:r>
          </w:p>
        </w:tc>
      </w:tr>
      <w:tr>
        <w:tc>
          <w:tcPr>
            <w:tcW w:type="dxa" w:w="2351"/>
          </w:tcPr>
          <w:p>
            <w:r>
              <w:rPr>
                <w:rFonts w:ascii="Times New Roman" w:hAnsi="Times New Roman"/>
                <w:b w:val="0"/>
                <w:i w:val="0"/>
                <w:sz w:val="19"/>
              </w:rPr>
              <w:t>Fadiga (BRUMS)</w:t>
            </w:r>
          </w:p>
        </w:tc>
        <w:tc>
          <w:tcPr>
            <w:tcW w:type="dxa" w:w="2351"/>
          </w:tcPr>
          <w:p>
            <w:r>
              <w:rPr>
                <w:rFonts w:ascii="Times New Roman" w:hAnsi="Times New Roman"/>
                <w:b w:val="0"/>
                <w:i w:val="0"/>
                <w:sz w:val="19"/>
              </w:rPr>
              <w:t>+0,409</w:t>
            </w:r>
          </w:p>
        </w:tc>
        <w:tc>
          <w:tcPr>
            <w:tcW w:type="dxa" w:w="2351"/>
          </w:tcPr>
          <w:p>
            <w:r>
              <w:rPr>
                <w:rFonts w:ascii="Times New Roman" w:hAnsi="Times New Roman"/>
                <w:b w:val="0"/>
                <w:i w:val="0"/>
                <w:sz w:val="19"/>
              </w:rPr>
              <w:t>0,040</w:t>
            </w:r>
          </w:p>
        </w:tc>
        <w:tc>
          <w:tcPr>
            <w:tcW w:type="dxa" w:w="2351"/>
          </w:tcPr>
          <w:p>
            <w:r>
              <w:rPr>
                <w:rFonts w:ascii="Times New Roman" w:hAnsi="Times New Roman"/>
                <w:b w:val="0"/>
                <w:i w:val="0"/>
                <w:sz w:val="19"/>
              </w:rPr>
              <w:t>&lt;0,001</w:t>
            </w:r>
          </w:p>
        </w:tc>
      </w:tr>
      <w:tr>
        <w:tc>
          <w:tcPr>
            <w:tcW w:type="dxa" w:w="2351"/>
          </w:tcPr>
          <w:p>
            <w:r>
              <w:rPr>
                <w:rFonts w:ascii="Times New Roman" w:hAnsi="Times New Roman"/>
                <w:b w:val="0"/>
                <w:i w:val="0"/>
                <w:sz w:val="19"/>
              </w:rPr>
              <w:t>Fadiga física</w:t>
            </w:r>
          </w:p>
        </w:tc>
        <w:tc>
          <w:tcPr>
            <w:tcW w:type="dxa" w:w="2351"/>
          </w:tcPr>
          <w:p>
            <w:r>
              <w:rPr>
                <w:rFonts w:ascii="Times New Roman" w:hAnsi="Times New Roman"/>
                <w:b w:val="0"/>
                <w:i w:val="0"/>
                <w:sz w:val="19"/>
              </w:rPr>
              <w:t>+0,388</w:t>
            </w:r>
          </w:p>
        </w:tc>
        <w:tc>
          <w:tcPr>
            <w:tcW w:type="dxa" w:w="2351"/>
          </w:tcPr>
          <w:p>
            <w:r>
              <w:rPr>
                <w:rFonts w:ascii="Times New Roman" w:hAnsi="Times New Roman"/>
                <w:b w:val="0"/>
                <w:i w:val="0"/>
                <w:sz w:val="19"/>
              </w:rPr>
              <w:t>0,097</w:t>
            </w:r>
          </w:p>
        </w:tc>
        <w:tc>
          <w:tcPr>
            <w:tcW w:type="dxa" w:w="2351"/>
          </w:tcPr>
          <w:p>
            <w:r>
              <w:rPr>
                <w:rFonts w:ascii="Times New Roman" w:hAnsi="Times New Roman"/>
                <w:b w:val="0"/>
                <w:i w:val="0"/>
                <w:sz w:val="19"/>
              </w:rPr>
              <w:t>&lt;0,001</w:t>
            </w:r>
          </w:p>
        </w:tc>
      </w:tr>
      <w:tr>
        <w:tc>
          <w:tcPr>
            <w:tcW w:type="dxa" w:w="2351"/>
          </w:tcPr>
          <w:p>
            <w:r>
              <w:rPr>
                <w:rFonts w:ascii="Times New Roman" w:hAnsi="Times New Roman"/>
                <w:b w:val="0"/>
                <w:i w:val="0"/>
                <w:sz w:val="19"/>
              </w:rPr>
              <w:t>Fadiga mental</w:t>
            </w:r>
          </w:p>
        </w:tc>
        <w:tc>
          <w:tcPr>
            <w:tcW w:type="dxa" w:w="2351"/>
          </w:tcPr>
          <w:p>
            <w:r>
              <w:rPr>
                <w:rFonts w:ascii="Times New Roman" w:hAnsi="Times New Roman"/>
                <w:b w:val="0"/>
                <w:i w:val="0"/>
                <w:sz w:val="19"/>
              </w:rPr>
              <w:t>+0,043</w:t>
            </w:r>
          </w:p>
        </w:tc>
        <w:tc>
          <w:tcPr>
            <w:tcW w:type="dxa" w:w="2351"/>
          </w:tcPr>
          <w:p>
            <w:r>
              <w:rPr>
                <w:rFonts w:ascii="Times New Roman" w:hAnsi="Times New Roman"/>
                <w:b w:val="0"/>
                <w:i w:val="0"/>
                <w:sz w:val="19"/>
              </w:rPr>
              <w:t>0,001</w:t>
            </w:r>
          </w:p>
        </w:tc>
        <w:tc>
          <w:tcPr>
            <w:tcW w:type="dxa" w:w="2351"/>
          </w:tcPr>
          <w:p>
            <w:r>
              <w:rPr>
                <w:rFonts w:ascii="Times New Roman" w:hAnsi="Times New Roman"/>
                <w:b w:val="0"/>
                <w:i w:val="0"/>
                <w:sz w:val="19"/>
              </w:rPr>
              <w:t>0,6038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mantidas próximas ao piso (Figura 2, radar); a fadiga foi a dimensão negativa mais expressiva, e a ampla amplitude da PTH revela heterogeneidade interindividual. Os histogramas (Gráfico 1) mostram o vigor e a fadiga física bem dispersos e as negativas concentradas no piso, e os diagramas de caixa por dia (Gráfico 2) evidenciam o deslocamento progressivo do vigor (para baixo) e das fadigas (para cima). A regressão linear (Tabela 3; Gráfico 3) confirma as tendências: a fadiga física apresenta a inclinação mais acentuada e o melhor ajuste (b = +0,39/dia; R² = 0,10; p &lt; 0,001), seguida da fadiga do BRUMS e do vigor; a fadiga mental não exibe tendência (p = 0,60).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206240" cy="236601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206240" cy="236601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quatro variáveis na semana (linha tracejada = média)</w:t>
      </w:r>
    </w:p>
    <w:p>
      <w:pPr>
        <w:jc w:val="center"/>
      </w:pPr>
      <w:r>
        <w:drawing>
          <wp:inline xmlns:a="http://schemas.openxmlformats.org/drawingml/2006/main" xmlns:pic="http://schemas.openxmlformats.org/drawingml/2006/picture">
            <wp:extent cx="4572000" cy="2571750"/>
            <wp:docPr id="3" name="Picture 3"/>
            <wp:cNvGraphicFramePr>
              <a:graphicFrameLocks noChangeAspect="1"/>
            </wp:cNvGraphicFramePr>
            <a:graphic>
              <a:graphicData uri="http://schemas.openxmlformats.org/drawingml/2006/picture">
                <pic:pic>
                  <pic:nvPicPr>
                    <pic:cNvPr id="0" name="sem_f_hist.png"/>
                    <pic:cNvPicPr/>
                  </pic:nvPicPr>
                  <pic:blipFill>
                    <a:blip r:embed="rId11"/>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quatro variáveis por dia</w:t>
      </w:r>
    </w:p>
    <w:p>
      <w:pPr>
        <w:jc w:val="center"/>
      </w:pPr>
      <w:r>
        <w:drawing>
          <wp:inline xmlns:a="http://schemas.openxmlformats.org/drawingml/2006/main" xmlns:pic="http://schemas.openxmlformats.org/drawingml/2006/picture">
            <wp:extent cx="4572000" cy="2571750"/>
            <wp:docPr id="4" name="Picture 4"/>
            <wp:cNvGraphicFramePr>
              <a:graphicFrameLocks noChangeAspect="1"/>
            </wp:cNvGraphicFramePr>
            <a:graphic>
              <a:graphicData uri="http://schemas.openxmlformats.org/drawingml/2006/picture">
                <pic:pic>
                  <pic:nvPicPr>
                    <pic:cNvPr id="0" name="sem_f_boxplot.png"/>
                    <pic:cNvPicPr/>
                  </pic:nvPicPr>
                  <pic:blipFill>
                    <a:blip r:embed="rId12"/>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4572000" cy="2571750"/>
            <wp:docPr id="5" name="Picture 5"/>
            <wp:cNvGraphicFramePr>
              <a:graphicFrameLocks noChangeAspect="1"/>
            </wp:cNvGraphicFramePr>
            <a:graphic>
              <a:graphicData uri="http://schemas.openxmlformats.org/drawingml/2006/picture">
                <pic:pic>
                  <pic:nvPicPr>
                    <pic:cNvPr id="0" name="sem_f_regressao.png"/>
                    <pic:cNvPicPr/>
                  </pic:nvPicPr>
                  <pic:blipFill>
                    <a:blip r:embed="rId13"/>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Comportamento e deterioração ao longo da semana</w:t>
      </w:r>
    </w:p>
    <w:p>
      <w:pPr>
        <w:spacing w:line="360" w:lineRule="auto"/>
        <w:ind w:firstLine="709"/>
        <w:jc w:val="both"/>
      </w:pPr>
      <w:r>
        <w:rPr>
          <w:rFonts w:ascii="Times New Roman" w:hAnsi="Times New Roman"/>
          <w:b w:val="0"/>
          <w:i w:val="0"/>
          <w:sz w:val="24"/>
        </w:rPr>
        <w:t>As trajetórias (Gráfico 4) mostram que o sinal temporal se concentra no eixo energia–fadiga: o vigor declina e a fadiga — física e do BRUMS — eleva-se progressivamente rumo ao Dia 7, ao passo que a fadiga mental e as subescalas negativas permanecem estáveis. A decomposição da variância indica que o sinal da semana é a menor fração (fadiga física 13%, vigor 7%, fadiga do BRUMS 4%, fadiga mental 1%), com relação sinal-ruído favorável apenas à fadiga física (1,82) e ao vigor (1,52); a maior parte da variância é traço e ruído, o que sustenta o monitoramento por médias de coletas e por tendência. O Gráfico 5 sintetiza, em escores padronizados, a deterioração conjunta do eixo, e o mapa de calor por atleta (Figura 3) revela a heterogeneidade: alguns atletas oscilam pouco e outros amplificam em todas as variáveis.</w:t>
      </w:r>
    </w:p>
    <w:p>
      <w:pPr>
        <w:spacing w:before="120" w:line="240" w:lineRule="auto"/>
        <w:jc w:val="center"/>
      </w:pPr>
      <w:r>
        <w:rPr>
          <w:rFonts w:ascii="Times New Roman" w:hAnsi="Times New Roman"/>
          <w:b w:val="0"/>
          <w:i w:val="0"/>
          <w:sz w:val="20"/>
        </w:rPr>
        <w:t>Gráfico 4 – Comportamento semanal das quatro variáveis (M ± DP; suavização LOWESS pontilhada)</w:t>
      </w:r>
    </w:p>
    <w:p>
      <w:pPr>
        <w:jc w:val="center"/>
      </w:pPr>
      <w:r>
        <w:drawing>
          <wp:inline xmlns:a="http://schemas.openxmlformats.org/drawingml/2006/main" xmlns:pic="http://schemas.openxmlformats.org/drawingml/2006/picture">
            <wp:extent cx="4572000" cy="2571750"/>
            <wp:docPr id="6" name="Picture 6"/>
            <wp:cNvGraphicFramePr>
              <a:graphicFrameLocks noChangeAspect="1"/>
            </wp:cNvGraphicFramePr>
            <a:graphic>
              <a:graphicData uri="http://schemas.openxmlformats.org/drawingml/2006/picture">
                <pic:pic>
                  <pic:nvPicPr>
                    <pic:cNvPr id="0" name="sem_f_trajetoria.png"/>
                    <pic:cNvPicPr/>
                  </pic:nvPicPr>
                  <pic:blipFill>
                    <a:blip r:embed="rId14"/>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ascendem</w:t>
      </w:r>
    </w:p>
    <w:p>
      <w:pPr>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sem_f_deterioracao.png"/>
                    <pic:cNvPicPr/>
                  </pic:nvPicPr>
                  <pic:blipFill>
                    <a:blip r:embed="rId15"/>
                    <a:stretch>
                      <a:fillRect/>
                    </a:stretch>
                  </pic:blipFill>
                  <pic:spPr>
                    <a:xfrm>
                      <a:off x="0" y="0"/>
                      <a:ext cx="4389120" cy="246888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3 – Mapa de calor da amplitude semanal por atleta (escores z por variável)</w:t>
      </w:r>
    </w:p>
    <w:p>
      <w:pPr>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abnt_f_heatmap.png"/>
                    <pic:cNvPicPr/>
                  </pic:nvPicPr>
                  <pic:blipFill>
                    <a:blip r:embed="rId16"/>
                    <a:stretch>
                      <a:fillRect/>
                    </a:stretch>
                  </pic:blipFill>
                  <pic:spPr>
                    <a:xfrm>
                      <a:off x="0" y="0"/>
                      <a:ext cx="4389120" cy="246888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Comparação geral do grupo: linha de base (Dia 1, pré) versus último dia (Dia 7, pós)</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9"/>
              </w:rPr>
              <w:t>Variável</w:t>
            </w:r>
          </w:p>
        </w:tc>
        <w:tc>
          <w:tcPr>
            <w:tcW w:type="dxa" w:w="1344"/>
          </w:tcPr>
          <w:p>
            <w:r>
              <w:rPr>
                <w:rFonts w:ascii="Times New Roman" w:hAnsi="Times New Roman"/>
                <w:b/>
                <w:i w:val="0"/>
                <w:sz w:val="19"/>
              </w:rPr>
              <w:t>Pré D1</w:t>
            </w:r>
          </w:p>
        </w:tc>
        <w:tc>
          <w:tcPr>
            <w:tcW w:type="dxa" w:w="1344"/>
          </w:tcPr>
          <w:p>
            <w:r>
              <w:rPr>
                <w:rFonts w:ascii="Times New Roman" w:hAnsi="Times New Roman"/>
                <w:b/>
                <w:i w:val="0"/>
                <w:sz w:val="19"/>
              </w:rPr>
              <w:t>Pós D7</w:t>
            </w:r>
          </w:p>
        </w:tc>
        <w:tc>
          <w:tcPr>
            <w:tcW w:type="dxa" w:w="1344"/>
          </w:tcPr>
          <w:p>
            <w:r>
              <w:rPr>
                <w:rFonts w:ascii="Times New Roman" w:hAnsi="Times New Roman"/>
                <w:b/>
                <w:i w:val="0"/>
                <w:sz w:val="19"/>
              </w:rPr>
              <w:t>Δ</w:t>
            </w:r>
          </w:p>
        </w:tc>
        <w:tc>
          <w:tcPr>
            <w:tcW w:type="dxa" w:w="1344"/>
          </w:tcPr>
          <w:p>
            <w:r>
              <w:rPr>
                <w:rFonts w:ascii="Times New Roman" w:hAnsi="Times New Roman"/>
                <w:b/>
                <w:i w:val="0"/>
                <w:sz w:val="19"/>
              </w:rPr>
              <w:t>% mud.</w:t>
            </w:r>
          </w:p>
        </w:tc>
        <w:tc>
          <w:tcPr>
            <w:tcW w:type="dxa" w:w="1344"/>
          </w:tcPr>
          <w:p>
            <w:r>
              <w:rPr>
                <w:rFonts w:ascii="Times New Roman" w:hAnsi="Times New Roman"/>
                <w:b/>
                <w:i w:val="0"/>
                <w:sz w:val="19"/>
              </w:rPr>
              <w:t>dz</w:t>
            </w:r>
          </w:p>
        </w:tc>
        <w:tc>
          <w:tcPr>
            <w:tcW w:type="dxa" w:w="1344"/>
          </w:tcPr>
          <w:p>
            <w:r>
              <w:rPr>
                <w:rFonts w:ascii="Times New Roman" w:hAnsi="Times New Roman"/>
                <w:b/>
                <w:i w:val="0"/>
                <w:sz w:val="19"/>
              </w:rPr>
              <w:t>p</w:t>
            </w:r>
          </w:p>
        </w:tc>
      </w:tr>
      <w:tr>
        <w:tc>
          <w:tcPr>
            <w:tcW w:type="dxa" w:w="1344"/>
          </w:tcPr>
          <w:p>
            <w:r>
              <w:rPr>
                <w:rFonts w:ascii="Times New Roman" w:hAnsi="Times New Roman"/>
                <w:b w:val="0"/>
                <w:i w:val="0"/>
                <w:sz w:val="19"/>
              </w:rPr>
              <w:t>Vigor</w:t>
            </w:r>
          </w:p>
        </w:tc>
        <w:tc>
          <w:tcPr>
            <w:tcW w:type="dxa" w:w="1344"/>
          </w:tcPr>
          <w:p>
            <w:r>
              <w:rPr>
                <w:rFonts w:ascii="Times New Roman" w:hAnsi="Times New Roman"/>
                <w:b w:val="0"/>
                <w:i w:val="0"/>
                <w:sz w:val="19"/>
              </w:rPr>
              <w:t>8,25 ± 3,32</w:t>
            </w:r>
          </w:p>
        </w:tc>
        <w:tc>
          <w:tcPr>
            <w:tcW w:type="dxa" w:w="1344"/>
          </w:tcPr>
          <w:p>
            <w:r>
              <w:rPr>
                <w:rFonts w:ascii="Times New Roman" w:hAnsi="Times New Roman"/>
                <w:b w:val="0"/>
                <w:i w:val="0"/>
                <w:sz w:val="19"/>
              </w:rPr>
              <w:t>4,38 ± 2,83</w:t>
            </w:r>
          </w:p>
        </w:tc>
        <w:tc>
          <w:tcPr>
            <w:tcW w:type="dxa" w:w="1344"/>
          </w:tcPr>
          <w:p>
            <w:r>
              <w:rPr>
                <w:rFonts w:ascii="Times New Roman" w:hAnsi="Times New Roman"/>
                <w:b w:val="0"/>
                <w:i w:val="0"/>
                <w:sz w:val="19"/>
              </w:rPr>
              <w:t>-3,88</w:t>
            </w:r>
          </w:p>
        </w:tc>
        <w:tc>
          <w:tcPr>
            <w:tcW w:type="dxa" w:w="1344"/>
          </w:tcPr>
          <w:p>
            <w:r>
              <w:rPr>
                <w:rFonts w:ascii="Times New Roman" w:hAnsi="Times New Roman"/>
                <w:b w:val="0"/>
                <w:i w:val="0"/>
                <w:sz w:val="19"/>
              </w:rPr>
              <w:t>-47%</w:t>
            </w:r>
          </w:p>
        </w:tc>
        <w:tc>
          <w:tcPr>
            <w:tcW w:type="dxa" w:w="1344"/>
          </w:tcPr>
          <w:p>
            <w:r>
              <w:rPr>
                <w:rFonts w:ascii="Times New Roman" w:hAnsi="Times New Roman"/>
                <w:b w:val="0"/>
                <w:i w:val="0"/>
                <w:sz w:val="19"/>
              </w:rPr>
              <w:t>-1,02</w:t>
            </w:r>
          </w:p>
        </w:tc>
        <w:tc>
          <w:tcPr>
            <w:tcW w:type="dxa" w:w="1344"/>
          </w:tcPr>
          <w:p>
            <w:r>
              <w:rPr>
                <w:rFonts w:ascii="Times New Roman" w:hAnsi="Times New Roman"/>
                <w:b w:val="0"/>
                <w:i w:val="0"/>
                <w:sz w:val="19"/>
              </w:rPr>
              <w:t>0,004</w:t>
            </w:r>
          </w:p>
        </w:tc>
      </w:tr>
      <w:tr>
        <w:tc>
          <w:tcPr>
            <w:tcW w:type="dxa" w:w="1344"/>
          </w:tcPr>
          <w:p>
            <w:r>
              <w:rPr>
                <w:rFonts w:ascii="Times New Roman" w:hAnsi="Times New Roman"/>
                <w:b w:val="0"/>
                <w:i w:val="0"/>
                <w:sz w:val="19"/>
              </w:rPr>
              <w:t>Fadiga (BRUMS)</w:t>
            </w:r>
          </w:p>
        </w:tc>
        <w:tc>
          <w:tcPr>
            <w:tcW w:type="dxa" w:w="1344"/>
          </w:tcPr>
          <w:p>
            <w:r>
              <w:rPr>
                <w:rFonts w:ascii="Times New Roman" w:hAnsi="Times New Roman"/>
                <w:b w:val="0"/>
                <w:i w:val="0"/>
                <w:sz w:val="19"/>
              </w:rPr>
              <w:t>3,62 ± 3,26</w:t>
            </w:r>
          </w:p>
        </w:tc>
        <w:tc>
          <w:tcPr>
            <w:tcW w:type="dxa" w:w="1344"/>
          </w:tcPr>
          <w:p>
            <w:r>
              <w:rPr>
                <w:rFonts w:ascii="Times New Roman" w:hAnsi="Times New Roman"/>
                <w:b w:val="0"/>
                <w:i w:val="0"/>
                <w:sz w:val="19"/>
              </w:rPr>
              <w:t>7,81 ± 4,40</w:t>
            </w:r>
          </w:p>
        </w:tc>
        <w:tc>
          <w:tcPr>
            <w:tcW w:type="dxa" w:w="1344"/>
          </w:tcPr>
          <w:p>
            <w:r>
              <w:rPr>
                <w:rFonts w:ascii="Times New Roman" w:hAnsi="Times New Roman"/>
                <w:b w:val="0"/>
                <w:i w:val="0"/>
                <w:sz w:val="19"/>
              </w:rPr>
              <w:t>+4,19</w:t>
            </w:r>
          </w:p>
        </w:tc>
        <w:tc>
          <w:tcPr>
            <w:tcW w:type="dxa" w:w="1344"/>
          </w:tcPr>
          <w:p>
            <w:r>
              <w:rPr>
                <w:rFonts w:ascii="Times New Roman" w:hAnsi="Times New Roman"/>
                <w:b w:val="0"/>
                <w:i w:val="0"/>
                <w:sz w:val="19"/>
              </w:rPr>
              <w:t>+116%</w:t>
            </w:r>
          </w:p>
        </w:tc>
        <w:tc>
          <w:tcPr>
            <w:tcW w:type="dxa" w:w="1344"/>
          </w:tcPr>
          <w:p>
            <w:r>
              <w:rPr>
                <w:rFonts w:ascii="Times New Roman" w:hAnsi="Times New Roman"/>
                <w:b w:val="0"/>
                <w:i w:val="0"/>
                <w:sz w:val="19"/>
              </w:rPr>
              <w:t>+0,78</w:t>
            </w:r>
          </w:p>
        </w:tc>
        <w:tc>
          <w:tcPr>
            <w:tcW w:type="dxa" w:w="1344"/>
          </w:tcPr>
          <w:p>
            <w:r>
              <w:rPr>
                <w:rFonts w:ascii="Times New Roman" w:hAnsi="Times New Roman"/>
                <w:b w:val="0"/>
                <w:i w:val="0"/>
                <w:sz w:val="19"/>
              </w:rPr>
              <w:t>0,017</w:t>
            </w:r>
          </w:p>
        </w:tc>
      </w:tr>
      <w:tr>
        <w:tc>
          <w:tcPr>
            <w:tcW w:type="dxa" w:w="1344"/>
          </w:tcPr>
          <w:p>
            <w:r>
              <w:rPr>
                <w:rFonts w:ascii="Times New Roman" w:hAnsi="Times New Roman"/>
                <w:b w:val="0"/>
                <w:i w:val="0"/>
                <w:sz w:val="19"/>
              </w:rPr>
              <w:t>Fadiga física</w:t>
            </w:r>
          </w:p>
        </w:tc>
        <w:tc>
          <w:tcPr>
            <w:tcW w:type="dxa" w:w="1344"/>
          </w:tcPr>
          <w:p>
            <w:r>
              <w:rPr>
                <w:rFonts w:ascii="Times New Roman" w:hAnsi="Times New Roman"/>
                <w:b w:val="0"/>
                <w:i w:val="0"/>
                <w:sz w:val="19"/>
              </w:rPr>
              <w:t>3,69 ± 2,41</w:t>
            </w:r>
          </w:p>
        </w:tc>
        <w:tc>
          <w:tcPr>
            <w:tcW w:type="dxa" w:w="1344"/>
          </w:tcPr>
          <w:p>
            <w:r>
              <w:rPr>
                <w:rFonts w:ascii="Times New Roman" w:hAnsi="Times New Roman"/>
                <w:b w:val="0"/>
                <w:i w:val="0"/>
                <w:sz w:val="19"/>
              </w:rPr>
              <w:t>8,44 ± 1,50</w:t>
            </w:r>
          </w:p>
        </w:tc>
        <w:tc>
          <w:tcPr>
            <w:tcW w:type="dxa" w:w="1344"/>
          </w:tcPr>
          <w:p>
            <w:r>
              <w:rPr>
                <w:rFonts w:ascii="Times New Roman" w:hAnsi="Times New Roman"/>
                <w:b w:val="0"/>
                <w:i w:val="0"/>
                <w:sz w:val="19"/>
              </w:rPr>
              <w:t>+4,75</w:t>
            </w:r>
          </w:p>
        </w:tc>
        <w:tc>
          <w:tcPr>
            <w:tcW w:type="dxa" w:w="1344"/>
          </w:tcPr>
          <w:p>
            <w:r>
              <w:rPr>
                <w:rFonts w:ascii="Times New Roman" w:hAnsi="Times New Roman"/>
                <w:b w:val="0"/>
                <w:i w:val="0"/>
                <w:sz w:val="19"/>
              </w:rPr>
              <w:t>+129%</w:t>
            </w:r>
          </w:p>
        </w:tc>
        <w:tc>
          <w:tcPr>
            <w:tcW w:type="dxa" w:w="1344"/>
          </w:tcPr>
          <w:p>
            <w:r>
              <w:rPr>
                <w:rFonts w:ascii="Times New Roman" w:hAnsi="Times New Roman"/>
                <w:b w:val="0"/>
                <w:i w:val="0"/>
                <w:sz w:val="19"/>
              </w:rPr>
              <w:t>+2,12</w:t>
            </w:r>
          </w:p>
        </w:tc>
        <w:tc>
          <w:tcPr>
            <w:tcW w:type="dxa" w:w="1344"/>
          </w:tcPr>
          <w:p>
            <w:r>
              <w:rPr>
                <w:rFonts w:ascii="Times New Roman" w:hAnsi="Times New Roman"/>
                <w:b w:val="0"/>
                <w:i w:val="0"/>
                <w:sz w:val="19"/>
              </w:rPr>
              <w:t>&lt;0,001</w:t>
            </w:r>
          </w:p>
        </w:tc>
      </w:tr>
      <w:tr>
        <w:tc>
          <w:tcPr>
            <w:tcW w:type="dxa" w:w="1344"/>
          </w:tcPr>
          <w:p>
            <w:r>
              <w:rPr>
                <w:rFonts w:ascii="Times New Roman" w:hAnsi="Times New Roman"/>
                <w:b w:val="0"/>
                <w:i w:val="0"/>
                <w:sz w:val="19"/>
              </w:rPr>
              <w:t>Fadiga mental</w:t>
            </w:r>
          </w:p>
        </w:tc>
        <w:tc>
          <w:tcPr>
            <w:tcW w:type="dxa" w:w="1344"/>
          </w:tcPr>
          <w:p>
            <w:r>
              <w:rPr>
                <w:rFonts w:ascii="Times New Roman" w:hAnsi="Times New Roman"/>
                <w:b w:val="0"/>
                <w:i w:val="0"/>
                <w:sz w:val="19"/>
              </w:rPr>
              <w:t>4,00 ± 2,16</w:t>
            </w:r>
          </w:p>
        </w:tc>
        <w:tc>
          <w:tcPr>
            <w:tcW w:type="dxa" w:w="1344"/>
          </w:tcPr>
          <w:p>
            <w:r>
              <w:rPr>
                <w:rFonts w:ascii="Times New Roman" w:hAnsi="Times New Roman"/>
                <w:b w:val="0"/>
                <w:i w:val="0"/>
                <w:sz w:val="19"/>
              </w:rPr>
              <w:t>5,56 ± 3,14</w:t>
            </w:r>
          </w:p>
        </w:tc>
        <w:tc>
          <w:tcPr>
            <w:tcW w:type="dxa" w:w="1344"/>
          </w:tcPr>
          <w:p>
            <w:r>
              <w:rPr>
                <w:rFonts w:ascii="Times New Roman" w:hAnsi="Times New Roman"/>
                <w:b w:val="0"/>
                <w:i w:val="0"/>
                <w:sz w:val="19"/>
              </w:rPr>
              <w:t>+1,56</w:t>
            </w:r>
          </w:p>
        </w:tc>
        <w:tc>
          <w:tcPr>
            <w:tcW w:type="dxa" w:w="1344"/>
          </w:tcPr>
          <w:p>
            <w:r>
              <w:rPr>
                <w:rFonts w:ascii="Times New Roman" w:hAnsi="Times New Roman"/>
                <w:b w:val="0"/>
                <w:i w:val="0"/>
                <w:sz w:val="19"/>
              </w:rPr>
              <w:t>+39%</w:t>
            </w:r>
          </w:p>
        </w:tc>
        <w:tc>
          <w:tcPr>
            <w:tcW w:type="dxa" w:w="1344"/>
          </w:tcPr>
          <w:p>
            <w:r>
              <w:rPr>
                <w:rFonts w:ascii="Times New Roman" w:hAnsi="Times New Roman"/>
                <w:b w:val="0"/>
                <w:i w:val="0"/>
                <w:sz w:val="19"/>
              </w:rPr>
              <w:t>+0,82</w:t>
            </w:r>
          </w:p>
        </w:tc>
        <w:tc>
          <w:tcPr>
            <w:tcW w:type="dxa" w:w="1344"/>
          </w:tcPr>
          <w:p>
            <w:r>
              <w:rPr>
                <w:rFonts w:ascii="Times New Roman" w:hAnsi="Times New Roman"/>
                <w:b w:val="0"/>
                <w:i w:val="0"/>
                <w:sz w:val="19"/>
              </w:rPr>
              <w:t>0,011</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9"/>
              </w:rPr>
              <w:t>Variável</w:t>
            </w:r>
          </w:p>
        </w:tc>
        <w:tc>
          <w:tcPr>
            <w:tcW w:type="dxa" w:w="1881"/>
          </w:tcPr>
          <w:p>
            <w:r>
              <w:rPr>
                <w:rFonts w:ascii="Times New Roman" w:hAnsi="Times New Roman"/>
                <w:b/>
                <w:i w:val="0"/>
                <w:sz w:val="19"/>
              </w:rPr>
              <w:t>|dz| agudo</w:t>
            </w:r>
          </w:p>
        </w:tc>
        <w:tc>
          <w:tcPr>
            <w:tcW w:type="dxa" w:w="1881"/>
          </w:tcPr>
          <w:p>
            <w:r>
              <w:rPr>
                <w:rFonts w:ascii="Times New Roman" w:hAnsi="Times New Roman"/>
                <w:b/>
                <w:i w:val="0"/>
                <w:sz w:val="19"/>
              </w:rPr>
              <w:t>|dz| crônico</w:t>
            </w:r>
          </w:p>
        </w:tc>
        <w:tc>
          <w:tcPr>
            <w:tcW w:type="dxa" w:w="1881"/>
          </w:tcPr>
          <w:p>
            <w:r>
              <w:rPr>
                <w:rFonts w:ascii="Times New Roman" w:hAnsi="Times New Roman"/>
                <w:b/>
                <w:i w:val="0"/>
                <w:sz w:val="19"/>
              </w:rPr>
              <w:t>SNR</w:t>
            </w:r>
          </w:p>
        </w:tc>
        <w:tc>
          <w:tcPr>
            <w:tcW w:type="dxa" w:w="1881"/>
          </w:tcPr>
          <w:p>
            <w:r>
              <w:rPr>
                <w:rFonts w:ascii="Times New Roman" w:hAnsi="Times New Roman"/>
                <w:b/>
                <w:i w:val="0"/>
                <w:sz w:val="19"/>
              </w:rPr>
              <w:t>% sinal</w:t>
            </w:r>
          </w:p>
        </w:tc>
      </w:tr>
      <w:tr>
        <w:tc>
          <w:tcPr>
            <w:tcW w:type="dxa" w:w="1881"/>
          </w:tcPr>
          <w:p>
            <w:r>
              <w:rPr>
                <w:rFonts w:ascii="Times New Roman" w:hAnsi="Times New Roman"/>
                <w:b w:val="0"/>
                <w:i w:val="0"/>
                <w:sz w:val="19"/>
              </w:rPr>
              <w:t>Fadiga física</w:t>
            </w:r>
          </w:p>
        </w:tc>
        <w:tc>
          <w:tcPr>
            <w:tcW w:type="dxa" w:w="1881"/>
          </w:tcPr>
          <w:p>
            <w:r>
              <w:rPr>
                <w:rFonts w:ascii="Times New Roman" w:hAnsi="Times New Roman"/>
                <w:b w:val="0"/>
                <w:i w:val="0"/>
                <w:sz w:val="19"/>
              </w:rPr>
              <w:t>1,08</w:t>
            </w:r>
          </w:p>
        </w:tc>
        <w:tc>
          <w:tcPr>
            <w:tcW w:type="dxa" w:w="1881"/>
          </w:tcPr>
          <w:p>
            <w:r>
              <w:rPr>
                <w:rFonts w:ascii="Times New Roman" w:hAnsi="Times New Roman"/>
                <w:b w:val="0"/>
                <w:i w:val="0"/>
                <w:sz w:val="19"/>
              </w:rPr>
              <w:t>1,69</w:t>
            </w:r>
          </w:p>
        </w:tc>
        <w:tc>
          <w:tcPr>
            <w:tcW w:type="dxa" w:w="1881"/>
          </w:tcPr>
          <w:p>
            <w:r>
              <w:rPr>
                <w:rFonts w:ascii="Times New Roman" w:hAnsi="Times New Roman"/>
                <w:b w:val="0"/>
                <w:i w:val="0"/>
                <w:sz w:val="19"/>
              </w:rPr>
              <w:t>1,82</w:t>
            </w:r>
          </w:p>
        </w:tc>
        <w:tc>
          <w:tcPr>
            <w:tcW w:type="dxa" w:w="1881"/>
          </w:tcPr>
          <w:p>
            <w:r>
              <w:rPr>
                <w:rFonts w:ascii="Times New Roman" w:hAnsi="Times New Roman"/>
                <w:b w:val="0"/>
                <w:i w:val="0"/>
                <w:sz w:val="19"/>
              </w:rPr>
              <w:t>13%</w:t>
            </w:r>
          </w:p>
        </w:tc>
      </w:tr>
      <w:tr>
        <w:tc>
          <w:tcPr>
            <w:tcW w:type="dxa" w:w="1881"/>
          </w:tcPr>
          <w:p>
            <w:r>
              <w:rPr>
                <w:rFonts w:ascii="Times New Roman" w:hAnsi="Times New Roman"/>
                <w:b w:val="0"/>
                <w:i w:val="0"/>
                <w:sz w:val="19"/>
              </w:rPr>
              <w:t>Vigor</w:t>
            </w:r>
          </w:p>
        </w:tc>
        <w:tc>
          <w:tcPr>
            <w:tcW w:type="dxa" w:w="1881"/>
          </w:tcPr>
          <w:p>
            <w:r>
              <w:rPr>
                <w:rFonts w:ascii="Times New Roman" w:hAnsi="Times New Roman"/>
                <w:b w:val="0"/>
                <w:i w:val="0"/>
                <w:sz w:val="19"/>
              </w:rPr>
              <w:t>0,74</w:t>
            </w:r>
          </w:p>
        </w:tc>
        <w:tc>
          <w:tcPr>
            <w:tcW w:type="dxa" w:w="1881"/>
          </w:tcPr>
          <w:p>
            <w:r>
              <w:rPr>
                <w:rFonts w:ascii="Times New Roman" w:hAnsi="Times New Roman"/>
                <w:b w:val="0"/>
                <w:i w:val="0"/>
                <w:sz w:val="19"/>
              </w:rPr>
              <w:t>1,09</w:t>
            </w:r>
          </w:p>
        </w:tc>
        <w:tc>
          <w:tcPr>
            <w:tcW w:type="dxa" w:w="1881"/>
          </w:tcPr>
          <w:p>
            <w:r>
              <w:rPr>
                <w:rFonts w:ascii="Times New Roman" w:hAnsi="Times New Roman"/>
                <w:b w:val="0"/>
                <w:i w:val="0"/>
                <w:sz w:val="19"/>
              </w:rPr>
              <w:t>1,52</w:t>
            </w:r>
          </w:p>
        </w:tc>
        <w:tc>
          <w:tcPr>
            <w:tcW w:type="dxa" w:w="1881"/>
          </w:tcPr>
          <w:p>
            <w:r>
              <w:rPr>
                <w:rFonts w:ascii="Times New Roman" w:hAnsi="Times New Roman"/>
                <w:b w:val="0"/>
                <w:i w:val="0"/>
                <w:sz w:val="19"/>
              </w:rPr>
              <w:t>7%</w:t>
            </w:r>
          </w:p>
        </w:tc>
      </w:tr>
      <w:tr>
        <w:tc>
          <w:tcPr>
            <w:tcW w:type="dxa" w:w="1881"/>
          </w:tcPr>
          <w:p>
            <w:r>
              <w:rPr>
                <w:rFonts w:ascii="Times New Roman" w:hAnsi="Times New Roman"/>
                <w:b w:val="0"/>
                <w:i w:val="0"/>
                <w:sz w:val="19"/>
              </w:rPr>
              <w:t>Fadiga (BRUMS)</w:t>
            </w:r>
          </w:p>
        </w:tc>
        <w:tc>
          <w:tcPr>
            <w:tcW w:type="dxa" w:w="1881"/>
          </w:tcPr>
          <w:p>
            <w:r>
              <w:rPr>
                <w:rFonts w:ascii="Times New Roman" w:hAnsi="Times New Roman"/>
                <w:b w:val="0"/>
                <w:i w:val="0"/>
                <w:sz w:val="19"/>
              </w:rPr>
              <w:t>0,60</w:t>
            </w:r>
          </w:p>
        </w:tc>
        <w:tc>
          <w:tcPr>
            <w:tcW w:type="dxa" w:w="1881"/>
          </w:tcPr>
          <w:p>
            <w:r>
              <w:rPr>
                <w:rFonts w:ascii="Times New Roman" w:hAnsi="Times New Roman"/>
                <w:b w:val="0"/>
                <w:i w:val="0"/>
                <w:sz w:val="19"/>
              </w:rPr>
              <w:t>0,68</w:t>
            </w:r>
          </w:p>
        </w:tc>
        <w:tc>
          <w:tcPr>
            <w:tcW w:type="dxa" w:w="1881"/>
          </w:tcPr>
          <w:p>
            <w:r>
              <w:rPr>
                <w:rFonts w:ascii="Times New Roman" w:hAnsi="Times New Roman"/>
                <w:b w:val="0"/>
                <w:i w:val="0"/>
                <w:sz w:val="19"/>
              </w:rPr>
              <w:t>1,29</w:t>
            </w:r>
          </w:p>
        </w:tc>
        <w:tc>
          <w:tcPr>
            <w:tcW w:type="dxa" w:w="1881"/>
          </w:tcPr>
          <w:p>
            <w:r>
              <w:rPr>
                <w:rFonts w:ascii="Times New Roman" w:hAnsi="Times New Roman"/>
                <w:b w:val="0"/>
                <w:i w:val="0"/>
                <w:sz w:val="19"/>
              </w:rPr>
              <w:t>4%</w:t>
            </w:r>
          </w:p>
        </w:tc>
      </w:tr>
      <w:tr>
        <w:tc>
          <w:tcPr>
            <w:tcW w:type="dxa" w:w="1881"/>
          </w:tcPr>
          <w:p>
            <w:r>
              <w:rPr>
                <w:rFonts w:ascii="Times New Roman" w:hAnsi="Times New Roman"/>
                <w:b w:val="0"/>
                <w:i w:val="0"/>
                <w:sz w:val="19"/>
              </w:rPr>
              <w:t>Fadiga mental</w:t>
            </w:r>
          </w:p>
        </w:tc>
        <w:tc>
          <w:tcPr>
            <w:tcW w:type="dxa" w:w="1881"/>
          </w:tcPr>
          <w:p>
            <w:r>
              <w:rPr>
                <w:rFonts w:ascii="Times New Roman" w:hAnsi="Times New Roman"/>
                <w:b w:val="0"/>
                <w:i w:val="0"/>
                <w:sz w:val="19"/>
              </w:rPr>
              <w:t>0,53</w:t>
            </w:r>
          </w:p>
        </w:tc>
        <w:tc>
          <w:tcPr>
            <w:tcW w:type="dxa" w:w="1881"/>
          </w:tcPr>
          <w:p>
            <w:r>
              <w:rPr>
                <w:rFonts w:ascii="Times New Roman" w:hAnsi="Times New Roman"/>
                <w:b w:val="0"/>
                <w:i w:val="0"/>
                <w:sz w:val="19"/>
              </w:rPr>
              <w:t>0,33</w:t>
            </w:r>
          </w:p>
        </w:tc>
        <w:tc>
          <w:tcPr>
            <w:tcW w:type="dxa" w:w="1881"/>
          </w:tcPr>
          <w:p>
            <w:r>
              <w:rPr>
                <w:rFonts w:ascii="Times New Roman" w:hAnsi="Times New Roman"/>
                <w:b w:val="0"/>
                <w:i w:val="0"/>
                <w:sz w:val="19"/>
              </w:rPr>
              <w:t>0,48</w:t>
            </w:r>
          </w:p>
        </w:tc>
        <w:tc>
          <w:tcPr>
            <w:tcW w:type="dxa" w:w="1881"/>
          </w:tcPr>
          <w:p>
            <w:r>
              <w:rPr>
                <w:rFonts w:ascii="Times New Roman" w:hAnsi="Times New Roman"/>
                <w:b w:val="0"/>
                <w:i w:val="0"/>
                <w:sz w:val="19"/>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dz = +0,78) e a fadiga mental (+39%; dz = +0,82) também aumentando significativamente. A hierarquia de sensibilidade (Tabela 5) é clara — fadiga física &gt; vigor &gt; fadiga do BRUMS &gt; fadiga mental —, com a fadiga física reunindo o maior efeito e a melhor SNR. O efeito crônico (linha de base ao final)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4.5 Perfil iceberg e ponto de inflexão</w:t>
      </w:r>
    </w:p>
    <w:p>
      <w:pPr>
        <w:spacing w:line="360" w:lineRule="auto"/>
        <w:ind w:firstLine="709"/>
        <w:jc w:val="both"/>
      </w:pPr>
      <w:r>
        <w:rPr>
          <w:rFonts w:ascii="Times New Roman" w:hAnsi="Times New Roman"/>
          <w:b w:val="0"/>
          <w:i w:val="0"/>
          <w:sz w:val="24"/>
        </w:rPr>
        <w:t>Os seis perfis de humor (Figura 4) descrevem as configurações possíveis do estado afetivo; ao longo da semana observou-se a migração do perfil saudável (iceberg) para o de fadiga, com queda do percentual em perfil iceberg e do índice-iceberg e precipitação no Dia 7 (Gráfico 6). A leitura das derivadas (Figura 5) descreve a forma da mudança: a aceleração troca de sinal uma única vez — o ponto de inflexão —, situado em torno do Dia 4 para o vigor, a fadiga física e a fadiga do BRUMS, marcando a transição da fase de acomodação para o aprofundamento da fadiga rumo ao Dia 7 e delimitando a janela oportuna para a intervenção na recuperação.</w:t>
      </w:r>
    </w:p>
    <w:p>
      <w:pPr>
        <w:spacing w:before="120" w:line="240" w:lineRule="auto"/>
        <w:jc w:val="center"/>
      </w:pPr>
      <w:r>
        <w:rPr>
          <w:rFonts w:ascii="Times New Roman" w:hAnsi="Times New Roman"/>
          <w:b w:val="0"/>
          <w:i w:val="0"/>
          <w:sz w:val="20"/>
        </w:rPr>
        <w:t>Gráfico 6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9" name="Picture 9"/>
            <wp:cNvGraphicFramePr>
              <a:graphicFrameLocks noChangeAspect="1"/>
            </wp:cNvGraphicFramePr>
            <a:graphic>
              <a:graphicData uri="http://schemas.openxmlformats.org/drawingml/2006/picture">
                <pic:pic>
                  <pic:nvPicPr>
                    <pic:cNvPr id="0" name="sem_f_iceberg.png"/>
                    <pic:cNvPicPr/>
                  </pic:nvPicPr>
                  <pic:blipFill>
                    <a:blip r:embed="rId17"/>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fig_perfis_esquema.png"/>
                    <pic:cNvPicPr/>
                  </pic:nvPicPr>
                  <pic:blipFill>
                    <a:blip r:embed="rId18"/>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4572000" cy="2571750"/>
            <wp:docPr id="11" name="Picture 11"/>
            <wp:cNvGraphicFramePr>
              <a:graphicFrameLocks noChangeAspect="1"/>
            </wp:cNvGraphicFramePr>
            <a:graphic>
              <a:graphicData uri="http://schemas.openxmlformats.org/drawingml/2006/picture">
                <pic:pic>
                  <pic:nvPicPr>
                    <pic:cNvPr id="0" name="sem_f_derivadas.png"/>
                    <pic:cNvPicPr/>
                  </pic:nvPicPr>
                  <pic:blipFill>
                    <a:blip r:embed="rId19"/>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4.6 Comportamento individual entre atletas</w:t>
      </w:r>
    </w:p>
    <w:p>
      <w:pPr>
        <w:spacing w:line="360" w:lineRule="auto"/>
        <w:ind w:firstLine="709"/>
        <w:jc w:val="both"/>
      </w:pPr>
      <w:r>
        <w:rPr>
          <w:rFonts w:ascii="Times New Roman" w:hAnsi="Times New Roman"/>
          <w:b w:val="0"/>
          <w:i w:val="0"/>
          <w:sz w:val="24"/>
        </w:rPr>
        <w:t>No nível individual, a heterogeneidade é marcante. O mapa de calor da amplitude por atleta (Figura 3) já mostrara que alguns atletas oscilam pouco e outros amplificam em todas as variáveis. As trajetórias individuais ao longo da semana (Figura 6) confirmam que, embora a direção do declínio do vigor e da elevação da fadiga física seja compartilhada pela maioria, a magnitude e o ponto de partida variam substancialmente entre atletas, de modo que escores idênticos podem representar estados distintos conforme a referência individual. A resposta aguda pré→pós por atleta (Figura 7) reproduz esse quadro no nível intradiário: a maioria reduz o vigor e aumenta a fadiga física, mas em amplitudes heterogêneas. Em conjunto, esses achados desaconselham o uso de pontos de corte normativos únicos e sustentam o referenciamento de cada atleta à sua própria linha de base.</w:t>
      </w:r>
    </w:p>
    <w:p>
      <w:pPr>
        <w:spacing w:before="120" w:line="240" w:lineRule="auto"/>
        <w:jc w:val="center"/>
      </w:pPr>
      <w:r>
        <w:rPr>
          <w:rFonts w:ascii="Times New Roman" w:hAnsi="Times New Roman"/>
          <w:b w:val="0"/>
          <w:i w:val="0"/>
          <w:sz w:val="20"/>
        </w:rPr>
        <w:t>Figura 6 – Trajetórias individuais do vigor e da fadiga física ao longo da semana (linha em destaque = média do grupo)</w:t>
      </w:r>
    </w:p>
    <w:p>
      <w:pPr>
        <w:jc w:val="center"/>
      </w:pPr>
      <w:r>
        <w:drawing>
          <wp:inline xmlns:a="http://schemas.openxmlformats.org/drawingml/2006/main" xmlns:pic="http://schemas.openxmlformats.org/drawingml/2006/picture">
            <wp:extent cx="4937760" cy="2777490"/>
            <wp:docPr id="12" name="Picture 12"/>
            <wp:cNvGraphicFramePr>
              <a:graphicFrameLocks noChangeAspect="1"/>
            </wp:cNvGraphicFramePr>
            <a:graphic>
              <a:graphicData uri="http://schemas.openxmlformats.org/drawingml/2006/picture">
                <pic:pic>
                  <pic:nvPicPr>
                    <pic:cNvPr id="0" name="sem_f_individual.png"/>
                    <pic:cNvPicPr/>
                  </pic:nvPicPr>
                  <pic:blipFill>
                    <a:blip r:embed="rId20"/>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7 – Resposta individual pré→pós na semana (cada linha = um atleta; linha em destaque = média do grupo)</w:t>
      </w:r>
    </w:p>
    <w:p>
      <w:pPr>
        <w:jc w:val="center"/>
      </w:pPr>
      <w:r>
        <w:drawing>
          <wp:inline xmlns:a="http://schemas.openxmlformats.org/drawingml/2006/main" xmlns:pic="http://schemas.openxmlformats.org/drawingml/2006/picture">
            <wp:extent cx="4937760" cy="2798064"/>
            <wp:docPr id="13" name="Picture 13"/>
            <wp:cNvGraphicFramePr>
              <a:graphicFrameLocks noChangeAspect="1"/>
            </wp:cNvGraphicFramePr>
            <a:graphic>
              <a:graphicData uri="http://schemas.openxmlformats.org/drawingml/2006/picture">
                <pic:pic>
                  <pic:nvPicPr>
                    <pic:cNvPr id="0" name="sem_f_ind_prepos.png"/>
                    <pic:cNvPicPr/>
                  </pic:nvPicPr>
                  <pic:blipFill>
                    <a:blip r:embed="rId21"/>
                    <a:stretch>
                      <a:fillRect/>
                    </a:stretch>
                  </pic:blipFill>
                  <pic:spPr>
                    <a:xfrm>
                      <a:off x="0" y="0"/>
                      <a:ext cx="4937760" cy="2798064"/>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seguida do vigor;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