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PRÉ-TEMPORADA: ANÁLISE DESCRITIVA E COMPARATIVA DAS VARIÁVEIS DO BRUMS</w:t>
      </w:r>
    </w:p>
    <w:p>
      <w:pPr>
        <w:spacing w:before="20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60"/>
        <w:ind w:firstLine="709"/>
        <w:jc w:val="both"/>
      </w:pPr>
      <w:r>
        <w:rPr>
          <w:b w:val="0"/>
          <w:sz w:val="24"/>
        </w:rPr>
        <w:t>Objetivo: avaliar o perfil de humor de atletas de handebol de elite na última semana de pré-temporada. Método: estudo descritivo de medidas repetidas com 27 atletas, 456 observações do BRUMS-24 em sete dias, duas coletas/dia (pré e pós-treino). Analisou-se o comportamento geral do grupo, a resposta pré→pós, o padrão diário e intra-dia, e a classificação nos seis perfis de humor, com percentuais, intervalos de confiança e tamanhos de efeito. Resultados: a deterioração concentra-se no eixo energia–fadiga — do pré ao pós, o vigor cai 19% (dz = -0,74) e a fadiga sobe 34% (dz = 0,60); do Dia 1 ao Dia 7, o vigor recua com efeito grande (dz = -0,95). O perfil iceberg cai de 40% para 17% e o perfil de fadiga (barbatana de tubarão) sobe de 2% para 28%. Conclusão: o humor migra da prontidão para a fadiga funcional, sem instalação de perfis de risco, com o eixo energia–fadiga como marcador sensível do microciclo.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monitoramento dos estados de humor é uma ferramenta prática e não invasiva para acompanhar a resposta de atletas à carga de treino e sinalizar precocemente a fadiga acumulada (SAW; MAIN; GASTIN, 2016). A Brunel Mood Scale (BRUMS), derivada do Profile of Mood States, mede seis dimensões — tensão, depressão, raiva, vigor, fadiga e confusão — e é um dos instrumentos de humor mais usados no esporte, com validações transculturais recentes que reforçam sua robustez (TERRY; LANE; FOGARTY, 2003; ROHLFS et al., 2008; LEW et al., 2023). Mais do que escores isolados, o humor pode ser lido como um perfil integrado: Morgan (1985) descreveu o “perfil iceberg”, e trabalhos recentes formalizaram seis perfis prototípicos, úteis ao rastreamento da prontidão e da saúde mental (PARSONS-SMITH; TERRY; MACHIN, 2017; TERRY et al., 2021; TAN et al., 2024).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 modalidades coletivas e intermitentes de alta demanda, como o handebol, a resposta afetiva oscila conforme a fase de treino, e o perfil de humor associa-se ao sono, ao estresse e ao desempenho (BRANDT; BEVILACQUA; ANDRADE, 2017; MICHALSIK; MADSEN; AAGAARD, 2013; RATZ-SULYOK et al., 2026). Metanálises confirmam a relação entre a perturbação do humor e o desempenho esportivo (LOCHBAUM et al., 2021). A última semana de pré-temporada concentra a carga que antecede a competição e é uma janela crítica para observar, de forma descritiva e comparativa, como cada dimensão do humor se comporta ao longo dos dias e dentro de cada dia.</w:t>
      </w:r>
    </w:p>
    <w:p>
      <w:pPr>
        <w:spacing w:before="200" w:after="80" w:line="360" w:lineRule="auto"/>
      </w:pPr>
      <w:r>
        <w:rPr>
          <w:b/>
          <w:sz w:val="24"/>
        </w:rPr>
        <w:t>2 OBJETIVO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Avaliar o perfil de humor de atletas de handebol de elite na última semana de pré-temporada, descrevendo e comparando o comportamento das variáveis do BRUMS no grupo (geral, pré→pós, por dia e intra-dia) e classificando os perfis de humor, com estimativas de variação percentual, intervalos de confiança e tamanho de efeito, do nível do grupo ao nível do sujeito.</w:t>
      </w:r>
    </w:p>
    <w:p>
      <w:pPr>
        <w:spacing w:before="200" w:after="80" w:line="360" w:lineRule="auto"/>
      </w:pPr>
      <w:r>
        <w:rPr>
          <w:b/>
          <w:sz w:val="24"/>
        </w:rPr>
        <w:t>3 MÉTODO</w:t>
      </w:r>
    </w:p>
    <w:p>
      <w:pPr>
        <w:spacing w:before="200" w:after="80" w:line="360" w:lineRule="auto"/>
      </w:pPr>
      <w:r>
        <w:rPr>
          <w:b/>
          <w:sz w:val="24"/>
        </w:rPr>
        <w:t>3.1 Amostra e desenho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de handebol do sexo masculino de nível competitivo (Tabela 1). O monitoramento ocorreu ao longo de sete dias consecutivos (21–27/04/2024), com duas aplicações do BRUMS por dia de treino — a primeira tomada como pré e a última como pós —, totalizando 456 observações válidas. A Figura 1 sintetiza o framework das coletas. Distribuição por posição: Armador (11), Ala (9), Pivô (4), Goleiro (3).</w:t>
      </w:r>
    </w:p>
    <w:p>
      <w:pPr>
        <w:spacing w:before="160" w:after="40"/>
      </w:pPr>
      <w:r>
        <w:rPr>
          <w:sz w:val="22"/>
        </w:rPr>
        <w:t>Tabela 1 – Caracterização sociodemográfica e antropométrica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20,5–23,5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179,8–185,2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(kg)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79,3–92,3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% de gordura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9,4–13,8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9,0–12,0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36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6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Framework das coletas: dos atletas às observações do BRUMS e à classificação de perfis.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3.2 Instrumento e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 (24 adjetivos, escala 0–4; seis subescalas de 0–16 e a Perturbação Total do Humor, PTH = tensão + depressão + raiva + fadiga + confusão − vigor). Os questionários foram autoaplicados por formulário eletrônico com carimbo de data/hora.</w:t>
      </w:r>
    </w:p>
    <w:p>
      <w:pPr>
        <w:spacing w:before="200" w:after="80" w:line="360" w:lineRule="auto"/>
      </w:pPr>
      <w:r>
        <w:rPr>
          <w:b/>
          <w:sz w:val="24"/>
        </w:rPr>
        <w:t>3.3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Estatística descritiva (média, mediana, desvio-padrão, IC95%, coeficiente de variação e amplitude) de cada subescala e da PTH, no geral, por dia e nos momentos pré e pós. Comparações pré→pós e Dia 1→Dia 7 por teste de Wilcoxon pareado, com variação percentual, tamanho de efeito pareado (dz de Cohen) e classificação de magnitude (trivial &lt; 0,2; pequeno &lt; 0,5; médio &lt; 0,8; grande ≥ 0,8). Classificação de cada observação nos seis perfis de humor de Terry por proximidade aos protótipos em escores padronizados. Análises no nível do grupo e no nível do sujeito.</w:t>
      </w:r>
    </w:p>
    <w:p>
      <w:pPr>
        <w:spacing w:before="200" w:after="80" w:line="360" w:lineRule="auto"/>
      </w:pPr>
      <w:r>
        <w:rPr>
          <w:b/>
          <w:sz w:val="24"/>
        </w:rPr>
        <w:t>4 RESULTADOS</w:t>
      </w:r>
    </w:p>
    <w:p>
      <w:pPr>
        <w:spacing w:before="200" w:after="80" w:line="360" w:lineRule="auto"/>
      </w:pPr>
      <w:r>
        <w:rPr>
          <w:b/>
          <w:sz w:val="24"/>
        </w:rPr>
        <w:t>4.1 Análise descritiva geral do grupo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subescalas negativas situam-se próximas do piso (medianas baixas, coeficientes de variação elevados), de modo que a variabilidade útil concentra-se no eixo energia–fadiga (Tabela 2): o vigor e a fadiga são as dimensões de maior média e dispersão informativa.</w:t>
      </w:r>
    </w:p>
    <w:p>
      <w:pPr>
        <w:spacing w:before="160" w:after="40"/>
      </w:pPr>
      <w:r>
        <w:rPr>
          <w:sz w:val="22"/>
        </w:rPr>
        <w:t>Tabela 2 – Estatística descritiva geral do grupo por subescala do BRUMS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Subescala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IC95%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1,22–1,56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0,79–1,21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1,35–1,85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5,41–5,98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5,29–6,00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0,34–0,56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263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0–9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PTH/TMD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3,51–5,28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4.2 Comportamento ao longo da semana e do Dia 1 ao Dia 7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Ao longo da semana (Figura 2), o vigor declina e a fadiga e a PTH ascendem, ao passo que as subescalas negativas de valência não fadiga oscilam próximas do piso. Na comparação Dia 1 → Dia 7 (Tabela 3), o vigor recua com efeito grande (Δ = -3,15; -41%; dz = -0,95; p = 0,001) e a fadiga sobe com efeito médio (Δ = +3,19; 75%; dz = 0,72; p = 0,004); a tensão e a confusão, ao contrário, decrescem — acomodação do estado inicial de ativação.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1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_traj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Trajetória das subescalas do BRUMS ao longo da semana (médias diárias; barras = IC95% no eixo energia–fadiga).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3 – Comparação Dia 1 → Dia 7 por subescala: médias, variação, tamanho de efeito e magnitude.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Subescala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-1,20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+24%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2,48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-3,15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-41%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7,46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+3,19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+75%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-53%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0,068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PTH/TMD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3,36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+4,92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+147%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4.3 Resposta aguda pré→pós da semana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Agregando toda a semana, a resposta aguda ao treino (pré → pós) é significativa e de magnitude média no eixo energia–fadiga (Tabela 4): o vigor cai 19% (dz = -0,74; p = 0,001), a fadiga sobe 34% (dz = 0,60; p = 0,005) e a PTH aumenta 131% (dz = 0,66). As demais subescalas apresentam resposta trivial a pequena, sem significância — a deterioração aguda poupa o afeto negativo geral.</w:t>
      </w:r>
    </w:p>
    <w:p>
      <w:pPr>
        <w:spacing w:before="160" w:after="40"/>
      </w:pPr>
      <w:r>
        <w:rPr>
          <w:sz w:val="22"/>
        </w:rPr>
        <w:t>Tabela 4 – Resposta pré → pós agregada na semana: médias, variação percentual, dz (IC95%), p e magnitude.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Subescala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 [IC95%]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+0,21 [-0,15, 0,46]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+37%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+0,39 [-0,01, 0,72]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0,085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 [-0,37, 0,77]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-1,18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-19%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-0,74 [-1,81, -0,55]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+34%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+0,60 [0,52, 2,53]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-8%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 [-0,23, 0,15]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0,586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PTH/TMD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+3,38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+131%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+0,66 [1,35, 5,41]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4.4 Comportamento intra-dia (pré → pós por dia)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padrão intra-dia repete-se com regularidade ao longo da semana (Figura 3; Tabela 5): em todos os dias de treino o vigor cai e a fadiga e a PTH sobem do pré para o pós, sinal de um choque agudo consistente a cada sessão.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94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_intrad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Escores pré e pós-treino por dia para vigor, fadiga e PTH/TMD (médias do grupo).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5 – Variação intra-dia (Δ pós−pré e dz) por dia. * p &lt; 0,05.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-2,5 (-1,0)*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 (-0,4)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 (-0,2)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 (-0,3)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 (-0,1)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 (-0,6)*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 (-0,2)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 (+0,7)*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+2,6 (+0,6)*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+0,8 (+0,3)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+0,8 (+0,2)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+1,1 (+0,4)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 (+0,4)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 (+0,5)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PTH/TMD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+6,9 (+0,8)*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+2,8 (+0,3)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+1,1 (+0,2)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+3,4 (+0,5)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+1,1 (+0,2)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+6,7 (+0,7)*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+3,3 (+0,5)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4.5 Perfis de humor e classificação do grupo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linha de base (Dia 1) predomina o perfil iceberg (40%), marca de prontidão; no último dia (Dia 7), o perfil de fadiga (“barbatana de tubarão”) torna-se o mais frequente (28%) e o iceberg cai para 17% (Figura 4; Tabela 6). Essa migração — do iceberg para a assinatura de fadiga funcional, sem instalação relevante de perfis de risco (submerso, iceberg invertido) — é a leitura central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753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Distribuição (%) dos seis perfis de humor por recorte: linha de base (D1), semana, último dia (D7), pré e pós.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Distribuição (%) dos perfis de humor de Terry por recorte.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Semana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24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4.6 Análise no nível do sujeito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nível individual, a resposta é heterogênea, mas majoritariamente de deterioração no eixo energia–fadiga: do Dia 1 ao Dia 7, 81% dos atletas reduzem o vigor e 81% aumentam a fadiga. As médias semanais individuais variam amplamente (vigor de 0,0 a 10,4; fadiga de 0,8 a 12,7), o que reforça a recomendação de interpretar o humor referenciado à linha de base de cada atleta, e não apenas pela média do grupo.</w:t>
      </w:r>
    </w:p>
    <w:p>
      <w:pPr>
        <w:spacing w:before="200" w:after="80" w:line="360" w:lineRule="auto"/>
      </w:pPr>
      <w:r>
        <w:rPr>
          <w:b/>
          <w:sz w:val="24"/>
        </w:rPr>
        <w:t>5 SÍNTESE DOS PRINCIPAIS ACHADOS</w:t>
      </w:r>
    </w:p>
    <w:p>
      <w:pPr>
        <w:spacing w:line="360" w:lineRule="auto" w:after="80"/>
        <w:jc w:val="both"/>
      </w:pPr>
      <w:r>
        <w:rPr>
          <w:sz w:val="24"/>
        </w:rPr>
        <w:t>•  A deterioração do humor concentra-se no eixo energia–fadiga (vigor ↓, fadiga ↑, PTH ↑); as subescalas negativas de valência não fadiga permanecem próximas do piso.</w:t>
      </w:r>
    </w:p>
    <w:p>
      <w:pPr>
        <w:spacing w:line="360" w:lineRule="auto" w:after="80"/>
        <w:jc w:val="both"/>
      </w:pPr>
      <w:r>
        <w:rPr>
          <w:sz w:val="24"/>
        </w:rPr>
        <w:t>•  Resposta aguda pré→pós de magnitude média e significativa: vigor −19% (dz = -0,74), fadiga +34% (dz = 0,60), PTH +131% (dz = 0,66).</w:t>
      </w:r>
    </w:p>
    <w:p>
      <w:pPr>
        <w:spacing w:line="360" w:lineRule="auto" w:after="80"/>
        <w:jc w:val="both"/>
      </w:pPr>
      <w:r>
        <w:rPr>
          <w:sz w:val="24"/>
        </w:rPr>
        <w:t>•  Do Dia 1 ao Dia 7, o vigor recua com efeito grande (dz = -0,95) e a fadiga sobe com efeito médio (dz = 0,72); tensão e confusão se acomodam.</w:t>
      </w:r>
    </w:p>
    <w:p>
      <w:pPr>
        <w:spacing w:line="360" w:lineRule="auto" w:after="80"/>
        <w:jc w:val="both"/>
      </w:pPr>
      <w:r>
        <w:rPr>
          <w:sz w:val="24"/>
        </w:rPr>
        <w:t>•  O perfil de humor migra do iceberg (40% no D1) para a fadiga funcional (barbatana de tubarão, 28% no D7), sem instalação de perfis de risco.</w:t>
      </w:r>
    </w:p>
    <w:p>
      <w:pPr>
        <w:spacing w:line="360" w:lineRule="auto" w:after="80"/>
        <w:jc w:val="both"/>
      </w:pPr>
      <w:r>
        <w:rPr>
          <w:sz w:val="24"/>
        </w:rPr>
        <w:t>•  No nível do sujeito, a maioria deteriora de forma coerente com o grupo, com ampla variabilidade individual — monitorar por tendência e por linha de base individual.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MADSEN, K.; AAGAARD, P. Match performance and physiological capacity of female elite team handball players. International Journal of Sports Medicine, v. 35, n. 7, p. 595–607, 2013. DOI: 10.1055/s-0033-1358713.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TAN, C. et al. The structural validity and latent profile characteristics of the Abbreviated Profile of Mood States among Chinese athletes. BMC Psychiatry, v. 24, n. 1, 636, 2024. DOI: 10.1186/s12888-024-06092-5.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