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descrevendo o comportamento geral do grupo por variável (incluindo a PTH), a variação da linha de base (Dia 1, pré) ao último dia (Dia 7, pós), a resposta pré→pós e a sensibilidade relativa das variáveis, com aprofundamento por regressão, decomposição da variância,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 As derivadas (Figura 3) descrevem a forma da mudança: a aceleração troca de sinal uma única vez — o ponto de inflexão —, em torno do Dia 4 para o vigor, a fadiga física e a fadiga do BRUMS (e ≈ Dia 3,5 para a PTH), marcando a transição da fase de acomodação para o aprofundamento da fadiga rumo ao Dia 7 e delimitando a janela oportuna para a intervenção na recuperação.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8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sem_f_iceberg.png"/>
                    <pic:cNvPicPr/>
                  </pic:nvPicPr>
                  <pic:blipFill>
                    <a:blip r:embed="rId18"/>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fig_perfis_esquema.png"/>
                    <pic:cNvPicPr/>
                  </pic:nvPicPr>
                  <pic:blipFill>
                    <a:blip r:embed="rId19"/>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2" name="Picture 12"/>
            <wp:cNvGraphicFramePr>
              <a:graphicFrameLocks noChangeAspect="1"/>
            </wp:cNvGraphicFramePr>
            <a:graphic>
              <a:graphicData uri="http://schemas.openxmlformats.org/drawingml/2006/picture">
                <pic:pic>
                  <pic:nvPicPr>
                    <pic:cNvPr id="0" name="v_delta.png"/>
                    <pic:cNvPicPr/>
                  </pic:nvPicPr>
                  <pic:blipFill>
                    <a:blip r:embed="rId20"/>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3" name="Picture 13"/>
            <wp:cNvGraphicFramePr>
              <a:graphicFrameLocks noChangeAspect="1"/>
            </wp:cNvGraphicFramePr>
            <a:graphic>
              <a:graphicData uri="http://schemas.openxmlformats.org/drawingml/2006/picture">
                <pic:pic>
                  <pic:nvPicPr>
                    <pic:cNvPr id="0" name="v_individual.png"/>
                    <pic:cNvPicPr/>
                  </pic:nvPicPr>
                  <pic:blipFill>
                    <a:blip r:embed="rId21"/>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4.9 Decomposição avançada: generalizabilidade, heterogeneidade e dimensionalidade</w:t>
      </w:r>
    </w:p>
    <w:p>
      <w:pPr>
        <w:spacing w:before="120" w:line="240" w:lineRule="auto"/>
        <w:jc w:val="left"/>
      </w:pPr>
      <w:r>
        <w:rPr>
          <w:rFonts w:ascii="Times New Roman" w:hAnsi="Times New Roman"/>
          <w:b w:val="0"/>
          <w:i w:val="0"/>
          <w:sz w:val="20"/>
        </w:rPr>
        <w:t>Tabela 9 – Decomposição em três facetas (traço, estado e ruído), fidedignidade de uma medida (ICC) e dependabilidade (Φ, k = 14 coletas)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 Traço (atleta)</w:t>
            </w:r>
          </w:p>
        </w:tc>
        <w:tc>
          <w:tcPr>
            <w:tcW w:type="dxa" w:w="1567"/>
          </w:tcPr>
          <w:p>
            <w:r>
              <w:rPr>
                <w:rFonts w:ascii="Times New Roman" w:hAnsi="Times New Roman"/>
                <w:b/>
                <w:i w:val="0"/>
                <w:sz w:val="17"/>
              </w:rPr>
              <w:t>% Estado (dia)</w:t>
            </w:r>
          </w:p>
        </w:tc>
        <w:tc>
          <w:tcPr>
            <w:tcW w:type="dxa" w:w="1567"/>
          </w:tcPr>
          <w:p>
            <w:r>
              <w:rPr>
                <w:rFonts w:ascii="Times New Roman" w:hAnsi="Times New Roman"/>
                <w:b/>
                <w:i w:val="0"/>
                <w:sz w:val="17"/>
              </w:rPr>
              <w:t>% Ruído (intra-dia)</w:t>
            </w:r>
          </w:p>
        </w:tc>
        <w:tc>
          <w:tcPr>
            <w:tcW w:type="dxa" w:w="1567"/>
          </w:tcPr>
          <w:p>
            <w:r>
              <w:rPr>
                <w:rFonts w:ascii="Times New Roman" w:hAnsi="Times New Roman"/>
                <w:b/>
                <w:i w:val="0"/>
                <w:sz w:val="17"/>
              </w:rPr>
              <w:t>ICC₁</w:t>
            </w:r>
          </w:p>
        </w:tc>
        <w:tc>
          <w:tcPr>
            <w:tcW w:type="dxa" w:w="1567"/>
          </w:tcPr>
          <w:p>
            <w:r>
              <w:rPr>
                <w:rFonts w:ascii="Times New Roman" w:hAnsi="Times New Roman"/>
                <w:b/>
                <w:i w:val="0"/>
                <w:sz w:val="17"/>
              </w:rPr>
              <w:t>Φ</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51%</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0,51</w:t>
            </w:r>
          </w:p>
        </w:tc>
        <w:tc>
          <w:tcPr>
            <w:tcW w:type="dxa" w:w="1567"/>
          </w:tcPr>
          <w:p>
            <w:r>
              <w:rPr>
                <w:rFonts w:ascii="Times New Roman" w:hAnsi="Times New Roman"/>
                <w:b w:val="0"/>
                <w:i w:val="0"/>
                <w:sz w:val="17"/>
              </w:rPr>
              <w:t>0,92</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54%</w:t>
            </w:r>
          </w:p>
        </w:tc>
        <w:tc>
          <w:tcPr>
            <w:tcW w:type="dxa" w:w="1567"/>
          </w:tcPr>
          <w:p>
            <w:r>
              <w:rPr>
                <w:rFonts w:ascii="Times New Roman" w:hAnsi="Times New Roman"/>
                <w:b w:val="0"/>
                <w:i w:val="0"/>
                <w:sz w:val="17"/>
              </w:rPr>
              <w:t>5%</w:t>
            </w:r>
          </w:p>
        </w:tc>
        <w:tc>
          <w:tcPr>
            <w:tcW w:type="dxa" w:w="1567"/>
          </w:tcPr>
          <w:p>
            <w:r>
              <w:rPr>
                <w:rFonts w:ascii="Times New Roman" w:hAnsi="Times New Roman"/>
                <w:b w:val="0"/>
                <w:i w:val="0"/>
                <w:sz w:val="17"/>
              </w:rPr>
              <w:t>41%</w:t>
            </w:r>
          </w:p>
        </w:tc>
        <w:tc>
          <w:tcPr>
            <w:tcW w:type="dxa" w:w="1567"/>
          </w:tcPr>
          <w:p>
            <w:r>
              <w:rPr>
                <w:rFonts w:ascii="Times New Roman" w:hAnsi="Times New Roman"/>
                <w:b w:val="0"/>
                <w:i w:val="0"/>
                <w:sz w:val="17"/>
              </w:rPr>
              <w:t>0,54</w:t>
            </w:r>
          </w:p>
        </w:tc>
        <w:tc>
          <w:tcPr>
            <w:tcW w:type="dxa" w:w="1567"/>
          </w:tcPr>
          <w:p>
            <w:r>
              <w:rPr>
                <w:rFonts w:ascii="Times New Roman" w:hAnsi="Times New Roman"/>
                <w:b w:val="0"/>
                <w:i w:val="0"/>
                <w:sz w:val="17"/>
              </w:rPr>
              <w:t>0,94</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60%</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0,86</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67%</w:t>
            </w:r>
          </w:p>
        </w:tc>
        <w:tc>
          <w:tcPr>
            <w:tcW w:type="dxa" w:w="1567"/>
          </w:tcPr>
          <w:p>
            <w:r>
              <w:rPr>
                <w:rFonts w:ascii="Times New Roman" w:hAnsi="Times New Roman"/>
                <w:b w:val="0"/>
                <w:i w:val="0"/>
                <w:sz w:val="17"/>
              </w:rPr>
              <w:t>3%</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0,67</w:t>
            </w:r>
          </w:p>
        </w:tc>
        <w:tc>
          <w:tcPr>
            <w:tcW w:type="dxa" w:w="1567"/>
          </w:tcPr>
          <w:p>
            <w:r>
              <w:rPr>
                <w:rFonts w:ascii="Times New Roman" w:hAnsi="Times New Roman"/>
                <w:b w:val="0"/>
                <w:i w:val="0"/>
                <w:sz w:val="17"/>
              </w:rPr>
              <w:t>0,96</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55%</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36%</w:t>
            </w:r>
          </w:p>
        </w:tc>
        <w:tc>
          <w:tcPr>
            <w:tcW w:type="dxa" w:w="1567"/>
          </w:tcPr>
          <w:p>
            <w:r>
              <w:rPr>
                <w:rFonts w:ascii="Times New Roman" w:hAnsi="Times New Roman"/>
                <w:b w:val="0"/>
                <w:i w:val="0"/>
                <w:sz w:val="17"/>
              </w:rPr>
              <w:t>0,55</w:t>
            </w:r>
          </w:p>
        </w:tc>
        <w:tc>
          <w:tcPr>
            <w:tcW w:type="dxa" w:w="1567"/>
          </w:tcPr>
          <w:p>
            <w:r>
              <w:rPr>
                <w:rFonts w:ascii="Times New Roman" w:hAnsi="Times New Roman"/>
                <w:b w:val="0"/>
                <w:i w:val="0"/>
                <w:sz w:val="17"/>
              </w:rPr>
              <w:t>0,93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teoria da generalizabilidade permite separar o que o modelo de dois fatores agregava: além do traço (diferenças estáveis entre atletas) e do ruído (erro intra-dia), isola-se o estado — a variância atribuível ao dia, isto é, ao sinal do microciclo. Essa fatia de estado é pequena em todas as variáveis (3–9%), confirmando que a oscilação semanal, embora real, é modesta frente ao traço e ao ruído (Gráfico 9). A fidedignidade de uma única medida (ICC₁) é moderada (0,33–0,67), mas a dependabilidade da média das coletas da semana é excelente (Φ = 0,86–0,96), o que fundamenta, de forma quantitativa, a recomendação de decidir por médias e não por registros isolados.</w:t>
      </w:r>
    </w:p>
    <w:p>
      <w:pPr>
        <w:spacing w:before="120" w:line="240" w:lineRule="auto"/>
        <w:jc w:val="center"/>
      </w:pPr>
      <w:r>
        <w:rPr>
          <w:rFonts w:ascii="Times New Roman" w:hAnsi="Times New Roman"/>
          <w:b w:val="0"/>
          <w:i w:val="0"/>
          <w:sz w:val="20"/>
        </w:rPr>
        <w:t>Gráfico 9 – Decomposição da variância em três facetas: estado (sinal do microciclo), traço e ruído</w:t>
      </w:r>
    </w:p>
    <w:p>
      <w:pPr>
        <w:jc w:val="center"/>
      </w:pPr>
      <w:r>
        <w:drawing>
          <wp:inline xmlns:a="http://schemas.openxmlformats.org/drawingml/2006/main" xmlns:pic="http://schemas.openxmlformats.org/drawingml/2006/picture">
            <wp:extent cx="4937760" cy="2777490"/>
            <wp:docPr id="14" name="Picture 14"/>
            <wp:cNvGraphicFramePr>
              <a:graphicFrameLocks noChangeAspect="1"/>
            </wp:cNvGraphicFramePr>
            <a:graphic>
              <a:graphicData uri="http://schemas.openxmlformats.org/drawingml/2006/picture">
                <pic:pic>
                  <pic:nvPicPr>
                    <pic:cNvPr id="0" name="x_facet.png"/>
                    <pic:cNvPicPr/>
                  </pic:nvPicPr>
                  <pic:blipFill>
                    <a:blip r:embed="rId22"/>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10 – Heterogeneidade do declínio (inclinação individual) e natureza do ruído (autocorrelação de lag-1 dos resíduos)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Inclinação média/dia</w:t>
            </w:r>
          </w:p>
        </w:tc>
        <w:tc>
          <w:tcPr>
            <w:tcW w:type="dxa" w:w="1881"/>
          </w:tcPr>
          <w:p>
            <w:r>
              <w:rPr>
                <w:rFonts w:ascii="Times New Roman" w:hAnsi="Times New Roman"/>
                <w:b/>
                <w:i w:val="0"/>
                <w:sz w:val="17"/>
              </w:rPr>
              <w:t>DP entre atletas</w:t>
            </w:r>
          </w:p>
        </w:tc>
        <w:tc>
          <w:tcPr>
            <w:tcW w:type="dxa" w:w="1881"/>
          </w:tcPr>
          <w:p>
            <w:r>
              <w:rPr>
                <w:rFonts w:ascii="Times New Roman" w:hAnsi="Times New Roman"/>
                <w:b/>
                <w:i w:val="0"/>
                <w:sz w:val="17"/>
              </w:rPr>
              <w:t>ACF(1)</w:t>
            </w:r>
          </w:p>
        </w:tc>
        <w:tc>
          <w:tcPr>
            <w:tcW w:type="dxa" w:w="1881"/>
          </w:tcPr>
          <w:p>
            <w:r>
              <w:rPr>
                <w:rFonts w:ascii="Times New Roman" w:hAnsi="Times New Roman"/>
                <w:b/>
                <w:i w:val="0"/>
                <w:sz w:val="17"/>
              </w:rPr>
              <w:t>Ruído</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-0,324</w:t>
            </w:r>
          </w:p>
        </w:tc>
        <w:tc>
          <w:tcPr>
            <w:tcW w:type="dxa" w:w="1881"/>
          </w:tcPr>
          <w:p>
            <w:r>
              <w:rPr>
                <w:rFonts w:ascii="Times New Roman" w:hAnsi="Times New Roman"/>
                <w:b w:val="0"/>
                <w:i w:val="0"/>
                <w:sz w:val="17"/>
              </w:rPr>
              <w:t>0,396</w:t>
            </w:r>
          </w:p>
        </w:tc>
        <w:tc>
          <w:tcPr>
            <w:tcW w:type="dxa" w:w="1881"/>
          </w:tcPr>
          <w:p>
            <w:r>
              <w:rPr>
                <w:rFonts w:ascii="Times New Roman" w:hAnsi="Times New Roman"/>
                <w:b w:val="0"/>
                <w:i w:val="0"/>
                <w:sz w:val="17"/>
              </w:rPr>
              <w:t>+0,01</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+0,343</w:t>
            </w:r>
          </w:p>
        </w:tc>
        <w:tc>
          <w:tcPr>
            <w:tcW w:type="dxa" w:w="1881"/>
          </w:tcPr>
          <w:p>
            <w:r>
              <w:rPr>
                <w:rFonts w:ascii="Times New Roman" w:hAnsi="Times New Roman"/>
                <w:b w:val="0"/>
                <w:i w:val="0"/>
                <w:sz w:val="17"/>
              </w:rPr>
              <w:t>0,464</w:t>
            </w:r>
          </w:p>
        </w:tc>
        <w:tc>
          <w:tcPr>
            <w:tcW w:type="dxa" w:w="1881"/>
          </w:tcPr>
          <w:p>
            <w:r>
              <w:rPr>
                <w:rFonts w:ascii="Times New Roman" w:hAnsi="Times New Roman"/>
                <w:b w:val="0"/>
                <w:i w:val="0"/>
                <w:sz w:val="17"/>
              </w:rPr>
              <w:t>-0,08</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+0,401</w:t>
            </w:r>
          </w:p>
        </w:tc>
        <w:tc>
          <w:tcPr>
            <w:tcW w:type="dxa" w:w="1881"/>
          </w:tcPr>
          <w:p>
            <w:r>
              <w:rPr>
                <w:rFonts w:ascii="Times New Roman" w:hAnsi="Times New Roman"/>
                <w:b w:val="0"/>
                <w:i w:val="0"/>
                <w:sz w:val="17"/>
              </w:rPr>
              <w:t>0,090</w:t>
            </w:r>
          </w:p>
        </w:tc>
        <w:tc>
          <w:tcPr>
            <w:tcW w:type="dxa" w:w="1881"/>
          </w:tcPr>
          <w:p>
            <w:r>
              <w:rPr>
                <w:rFonts w:ascii="Times New Roman" w:hAnsi="Times New Roman"/>
                <w:b w:val="0"/>
                <w:i w:val="0"/>
                <w:sz w:val="17"/>
              </w:rPr>
              <w:t>-0,27</w:t>
            </w:r>
          </w:p>
        </w:tc>
        <w:tc>
          <w:tcPr>
            <w:tcW w:type="dxa" w:w="1881"/>
          </w:tcPr>
          <w:p>
            <w:r>
              <w:rPr>
                <w:rFonts w:ascii="Times New Roman" w:hAnsi="Times New Roman"/>
                <w:b w:val="0"/>
                <w:i w:val="0"/>
                <w:sz w:val="17"/>
              </w:rPr>
              <w:t>estruturado</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+0,115</w:t>
            </w:r>
          </w:p>
        </w:tc>
        <w:tc>
          <w:tcPr>
            <w:tcW w:type="dxa" w:w="1881"/>
          </w:tcPr>
          <w:p>
            <w:r>
              <w:rPr>
                <w:rFonts w:ascii="Times New Roman" w:hAnsi="Times New Roman"/>
                <w:b w:val="0"/>
                <w:i w:val="0"/>
                <w:sz w:val="17"/>
              </w:rPr>
              <w:t>0,107</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+0,554</w:t>
            </w:r>
          </w:p>
        </w:tc>
        <w:tc>
          <w:tcPr>
            <w:tcW w:type="dxa" w:w="1881"/>
          </w:tcPr>
          <w:p>
            <w:r>
              <w:rPr>
                <w:rFonts w:ascii="Times New Roman" w:hAnsi="Times New Roman"/>
                <w:b w:val="0"/>
                <w:i w:val="0"/>
                <w:sz w:val="17"/>
              </w:rPr>
              <w:t>1,291</w:t>
            </w:r>
          </w:p>
        </w:tc>
        <w:tc>
          <w:tcPr>
            <w:tcW w:type="dxa" w:w="1881"/>
          </w:tcPr>
          <w:p>
            <w:r>
              <w:rPr>
                <w:rFonts w:ascii="Times New Roman" w:hAnsi="Times New Roman"/>
                <w:b w:val="0"/>
                <w:i w:val="0"/>
                <w:sz w:val="17"/>
              </w:rPr>
              <w:t>-0,05</w:t>
            </w:r>
          </w:p>
        </w:tc>
        <w:tc>
          <w:tcPr>
            <w:tcW w:type="dxa" w:w="1881"/>
          </w:tcPr>
          <w:p>
            <w:r>
              <w:rPr>
                <w:rFonts w:ascii="Times New Roman" w:hAnsi="Times New Roman"/>
                <w:b w:val="0"/>
                <w:i w:val="0"/>
                <w:sz w:val="17"/>
              </w:rPr>
              <w:t>branco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de inclinação aleatória revela quão uniformemente os atletas se deterioram: a fadiga física apresenta a menor dispersão de inclinações (DP = 0,09/dia) — todos pioram praticamente no mesmo ritmo, o que a torna previsível —, ao passo que a PTH tem inclinações muito heterogêneas (DP = 1,29/dia), com atletas melhorando e outros piorando (Figura 6). A autocorrelação de lag-1 dos resíduos é próxima de zero na maioria das variáveis, indicando ruído essencialmente branco (erro de medida puro), o que valida a decomposição; a fadiga física é a exceção (ACF = −0,27), sugerindo leve reversão à média — parte de seu resíduo é flutuação lenta, não apenas erro.</w:t>
      </w:r>
    </w:p>
    <w:p>
      <w:pPr>
        <w:spacing w:before="120" w:line="240" w:lineRule="auto"/>
        <w:jc w:val="center"/>
      </w:pPr>
      <w:r>
        <w:rPr>
          <w:rFonts w:ascii="Times New Roman" w:hAnsi="Times New Roman"/>
          <w:b w:val="0"/>
          <w:i w:val="0"/>
          <w:sz w:val="20"/>
        </w:rPr>
        <w:t>Figura 6 – Distribuição das inclinações individuais (unidade por dia) por variável — heterogeneidade do declínio entre atletas</w:t>
      </w:r>
    </w:p>
    <w:p>
      <w:pPr>
        <w:jc w:val="center"/>
      </w:pPr>
      <w:r>
        <w:drawing>
          <wp:inline xmlns:a="http://schemas.openxmlformats.org/drawingml/2006/main" xmlns:pic="http://schemas.openxmlformats.org/drawingml/2006/picture">
            <wp:extent cx="4937760" cy="2777490"/>
            <wp:docPr id="15" name="Picture 15"/>
            <wp:cNvGraphicFramePr>
              <a:graphicFrameLocks noChangeAspect="1"/>
            </wp:cNvGraphicFramePr>
            <a:graphic>
              <a:graphicData uri="http://schemas.openxmlformats.org/drawingml/2006/picture">
                <pic:pic>
                  <pic:nvPicPr>
                    <pic:cNvPr id="0" name="x_slopes.png"/>
                    <pic:cNvPicPr/>
                  </pic:nvPicPr>
                  <pic:blipFill>
                    <a:blip r:embed="rId23"/>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11 – Mudança confiável por atleta (RCI): erro típico, mudança mínima detectável e proporção de atletas com mudança individual confiável (D1→D7)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ETM</w:t>
            </w:r>
          </w:p>
        </w:tc>
        <w:tc>
          <w:tcPr>
            <w:tcW w:type="dxa" w:w="2351"/>
          </w:tcPr>
          <w:p>
            <w:r>
              <w:rPr>
                <w:rFonts w:ascii="Times New Roman" w:hAnsi="Times New Roman"/>
                <w:b/>
                <w:i w:val="0"/>
                <w:sz w:val="17"/>
              </w:rPr>
              <w:t>MDC95</w:t>
            </w:r>
          </w:p>
        </w:tc>
        <w:tc>
          <w:tcPr>
            <w:tcW w:type="dxa" w:w="2351"/>
          </w:tcPr>
          <w:p>
            <w:r>
              <w:rPr>
                <w:rFonts w:ascii="Times New Roman" w:hAnsi="Times New Roman"/>
                <w:b/>
                <w:i w:val="0"/>
                <w:sz w:val="17"/>
              </w:rPr>
              <w:t>% atletas com mudança confiável</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2,19</w:t>
            </w:r>
          </w:p>
        </w:tc>
        <w:tc>
          <w:tcPr>
            <w:tcW w:type="dxa" w:w="2351"/>
          </w:tcPr>
          <w:p>
            <w:r>
              <w:rPr>
                <w:rFonts w:ascii="Times New Roman" w:hAnsi="Times New Roman"/>
                <w:b w:val="0"/>
                <w:i w:val="0"/>
                <w:sz w:val="17"/>
              </w:rPr>
              <w:t>6,08</w:t>
            </w:r>
          </w:p>
        </w:tc>
        <w:tc>
          <w:tcPr>
            <w:tcW w:type="dxa" w:w="2351"/>
          </w:tcPr>
          <w:p>
            <w:r>
              <w:rPr>
                <w:rFonts w:ascii="Times New Roman" w:hAnsi="Times New Roman"/>
                <w:b w:val="0"/>
                <w:i w:val="0"/>
                <w:sz w:val="17"/>
              </w:rPr>
              <w:t>14%</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2,64</w:t>
            </w:r>
          </w:p>
        </w:tc>
        <w:tc>
          <w:tcPr>
            <w:tcW w:type="dxa" w:w="2351"/>
          </w:tcPr>
          <w:p>
            <w:r>
              <w:rPr>
                <w:rFonts w:ascii="Times New Roman" w:hAnsi="Times New Roman"/>
                <w:b w:val="0"/>
                <w:i w:val="0"/>
                <w:sz w:val="17"/>
              </w:rPr>
              <w:t>7,31</w:t>
            </w:r>
          </w:p>
        </w:tc>
        <w:tc>
          <w:tcPr>
            <w:tcW w:type="dxa" w:w="2351"/>
          </w:tcPr>
          <w:p>
            <w:r>
              <w:rPr>
                <w:rFonts w:ascii="Times New Roman" w:hAnsi="Times New Roman"/>
                <w:b w:val="0"/>
                <w:i w:val="0"/>
                <w:sz w:val="17"/>
              </w:rPr>
              <w:t>19%</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1,81</w:t>
            </w:r>
          </w:p>
        </w:tc>
        <w:tc>
          <w:tcPr>
            <w:tcW w:type="dxa" w:w="2351"/>
          </w:tcPr>
          <w:p>
            <w:r>
              <w:rPr>
                <w:rFonts w:ascii="Times New Roman" w:hAnsi="Times New Roman"/>
                <w:b w:val="0"/>
                <w:i w:val="0"/>
                <w:sz w:val="17"/>
              </w:rPr>
              <w:t>5,01</w:t>
            </w:r>
          </w:p>
        </w:tc>
        <w:tc>
          <w:tcPr>
            <w:tcW w:type="dxa" w:w="2351"/>
          </w:tcPr>
          <w:p>
            <w:r>
              <w:rPr>
                <w:rFonts w:ascii="Times New Roman" w:hAnsi="Times New Roman"/>
                <w:b w:val="0"/>
                <w:i w:val="0"/>
                <w:sz w:val="17"/>
              </w:rPr>
              <w:t>10%</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1,59</w:t>
            </w:r>
          </w:p>
        </w:tc>
        <w:tc>
          <w:tcPr>
            <w:tcW w:type="dxa" w:w="2351"/>
          </w:tcPr>
          <w:p>
            <w:r>
              <w:rPr>
                <w:rFonts w:ascii="Times New Roman" w:hAnsi="Times New Roman"/>
                <w:b w:val="0"/>
                <w:i w:val="0"/>
                <w:sz w:val="17"/>
              </w:rPr>
              <w:t>4,42</w:t>
            </w:r>
          </w:p>
        </w:tc>
        <w:tc>
          <w:tcPr>
            <w:tcW w:type="dxa" w:w="2351"/>
          </w:tcPr>
          <w:p>
            <w:r>
              <w:rPr>
                <w:rFonts w:ascii="Times New Roman" w:hAnsi="Times New Roman"/>
                <w:b w:val="0"/>
                <w:i w:val="0"/>
                <w:sz w:val="17"/>
              </w:rPr>
              <w:t>0%</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6,47</w:t>
            </w:r>
          </w:p>
        </w:tc>
        <w:tc>
          <w:tcPr>
            <w:tcW w:type="dxa" w:w="2351"/>
          </w:tcPr>
          <w:p>
            <w:r>
              <w:rPr>
                <w:rFonts w:ascii="Times New Roman" w:hAnsi="Times New Roman"/>
                <w:b w:val="0"/>
                <w:i w:val="0"/>
                <w:sz w:val="17"/>
              </w:rPr>
              <w:t>17,92</w:t>
            </w:r>
          </w:p>
        </w:tc>
        <w:tc>
          <w:tcPr>
            <w:tcW w:type="dxa" w:w="2351"/>
          </w:tcPr>
          <w:p>
            <w:r>
              <w:rPr>
                <w:rFonts w:ascii="Times New Roman" w:hAnsi="Times New Roman"/>
                <w:b w:val="0"/>
                <w:i w:val="0"/>
                <w:sz w:val="17"/>
              </w:rPr>
              <w:t>14%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nível individual, a proporção de atletas cuja mudança da linha de base ao último dia supera o limiar de ruído (|RCI| &gt; 1,96) é baixa — fadiga do BRUMS 19%, vigor e PTH 14%, fadiga física 10% e fadiga mental 0% —, o que confirma, por um índice per capita, que uma única coleta é insuficiente para a decisão individual confiável, reforçando o uso de médias de coletas. Por fim, a análise de componentes principais das seis subescalas (Gráfico 10) mostra que o humor é essencialmente bidimensional: o primeiro componente explica 40% e o segundo 23% da variância (63% acumulados), correspondendo ao eixo energia–fadiga e a um eixo de afeto negativo — ou seja, o "sinal" do humor concentra-se em poucas dimensões, e o monitoramento pode focar-se nelas.</w:t>
      </w:r>
    </w:p>
    <w:p>
      <w:pPr>
        <w:spacing w:before="120" w:line="240" w:lineRule="auto"/>
        <w:jc w:val="center"/>
      </w:pPr>
      <w:r>
        <w:rPr>
          <w:rFonts w:ascii="Times New Roman" w:hAnsi="Times New Roman"/>
          <w:b w:val="0"/>
          <w:i w:val="0"/>
          <w:sz w:val="20"/>
        </w:rPr>
        <w:t>Gráfico 10 – Variância explicada pelos componentes principais das seis subescalas do BRUMS (barras) e variância acumulada (linha)</w:t>
      </w:r>
    </w:p>
    <w:p>
      <w:pPr>
        <w:jc w:val="center"/>
      </w:pPr>
      <w:r>
        <w:drawing>
          <wp:inline xmlns:a="http://schemas.openxmlformats.org/drawingml/2006/main" xmlns:pic="http://schemas.openxmlformats.org/drawingml/2006/picture">
            <wp:extent cx="4572000" cy="2571750"/>
            <wp:docPr id="16" name="Picture 16"/>
            <wp:cNvGraphicFramePr>
              <a:graphicFrameLocks noChangeAspect="1"/>
            </wp:cNvGraphicFramePr>
            <a:graphic>
              <a:graphicData uri="http://schemas.openxmlformats.org/drawingml/2006/picture">
                <pic:pic>
                  <pic:nvPicPr>
                    <pic:cNvPr id="0" name="x_pca.png"/>
                    <pic:cNvPicPr/>
                  </pic:nvPicPr>
                  <pic:blipFill>
                    <a:blip r:embed="rId24"/>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