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PERFIL DE HUMOR DE ATLETAS DE HANDEBOL DE ELITE NA ÚLTIMA SEMANA DE PRÉ-TEMPORADA: ANÁLISE DESCRITIVA, COMPARATIVA E DE CORRELAÇÃO DAS SEIS SUBESCALAS DO BRUMS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/>
          <w:sz w:val="24"/>
        </w:rPr>
        <w:t xml:space="preserve">Objetivo: </w:t>
      </w:r>
      <w:r>
        <w:rPr>
          <w:b w:val="0"/>
          <w:sz w:val="24"/>
        </w:rPr>
        <w:t xml:space="preserve">avaliar o perfil de humor de atletas de handebol de elite na última semana de pré-temporada, caracterizando e comparando o comportamento das seis subescalas do BRUMS no nível do grupo e do sujeito. </w:t>
      </w:r>
      <w:r>
        <w:rPr>
          <w:b/>
          <w:sz w:val="24"/>
        </w:rPr>
        <w:t xml:space="preserve">Método: </w:t>
      </w:r>
      <w:r>
        <w:rPr>
          <w:b w:val="0"/>
          <w:sz w:val="24"/>
        </w:rPr>
        <w:t xml:space="preserve">estudo descritivo-comparativo de medidas repetidas com 27 atletas e 456 observações do BRUMS-24 em sete dias (duas coletas/dia: pré e pós-treino). Aplicaram-se estatística descritiva exploratória, comparações pré→pós e Dia 1→Dia 7 (Wilcoxon; variação percentual, dz de Cohen com IC95%, magnitude), correlação de Spearman e Índice de Mudança Confiável (RCI) individual.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deterioração concentrou-se no eixo energia–fadiga — vigor pré→pós −19% (dz = -0,74) e Dia 1→Dia 7 com efeito grande (dz = -0,95; p = 0,001); fadiga pré→pós +34% (dz = 0,60). No nível individual, 24% dos atletas reduziram o vigor e 52% aumentaram a fadiga de forma confiável. As subescalas negativas mantiveram-se próximas do piso, com acoplamento à fadiga fraco no dia de maior vigor (D1) e forte no de maior fadiga (D7: depressão ρ = +0,75; raiva ρ = +0,64). O perfil iceberg caiu de 40% para 17% e o de fadiga subiu de 2% para 28%.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o humor migra da prontidão para a fadiga funcional; a fadiga é a subescala mais sensível e o afeto negativo consolida-se com a fadiga apenas sob carga acumulada, o que fundamenta um monitoramento individualizado.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estados de humor; BRUMS; handebol; monitoramento; fadiga; atletas de elite.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monitoramento dos estados psicológicos consolidou-se como componente essencial da gestão da carga de treino no esporte de rendimento. Escalas de autorrelato são práticas, econômicas e sensíveis: em revisão sistemática, as medidas subjetivas de bem-estar rastrearam as cargas aguda e crônica com sensibilidade e consistência superiores às de marcadores objetivos, respondendo à intensificação do treino e à redução de carga de modo coerente (SAW; MAIN; GASTIN, 2016). Por isso, painéis de consenso recomendam o uso rotineiro de instrumentos subjetivos para monitorar a fadiga e orientar decisões de treino e recuperação em modalidades esportivas (THORPE et al., 2017; 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Entre esses instrumentos, a Brunel Mood Scale (BRUMS) — versão abreviada e adaptada do Profile of Mood States — é uma das mais utilizadas na ciência do esporte. Composta por 24 adjetivos organizados em seis subescalas (tensão, depressão, raiva, vigor, fadiga e confusão), foi desenvolvida para aplicação rápida e repetida e possui propriedades psicométricas sólidas, com sucessivas validações transculturais que sustentam seu uso em diferentes populações e idiomas (TERRY et al., 1999; TERRY; LANE; FOGARTY, 2003; ROHLFS et al., 2008; LEW et al., 2023). Sua leitura pode ir além dos escores isolados: Morgan (1985) descreveu o “perfil iceberg” — vigor elevado sobre dimensões negativas baixas — como assinatura de prontidão e saúde mental positiva, e abordagens recentes formalizaram seis perfis prototípicos de humor (iceberg, Everest invertido, iceberg invertido, submerso, barbatana de tubarão e superfície), hoje amplamente empregados no rastreamento do estado psicológico e da prontidão de atletas de elite (PARSONS-SMITH; TERRY; MACHIN, 2017; TERRY et al., 2021; TAN et al., 2024). O valor aplicado do constructo é reforçado por metanálise que confirma a associação entre a perturbação do humor e o desempenho esportivo (LOCHBAUM et al., 2021).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de caráter marcadamente intermitente e de alta intensidade. Ao longo da partida, esforços máximos e explosivos — sprints curtos, saltos, arremessos, mudanças de direção e contatos físicos — alternam-se, de forma imprevisível, com períodos de recuperação incompleta, exigindo simultaneamente potência anaeróbia, capacidade aeróbia intermitente e elevada tolerância à fadiga (KARCHER; BUCHHEIT, 2014; WAGNER et al., 2014). As demandas físicas variam com a posição tática e a fadiga já foi documentada pela queda do volume de corrida em alta intensidade ao longo do jogo (MICHALSIK; MADSEN; AAGAARD, 2013). Esse perfil de esforço eleva a carga interna nos microciclos de acúmulo e repercute diretamente no estado afetivo dos atletas: em handebolistas de elite, o humor e o estresse associam-se a indicadores de sobrecarga fisiológica e psicossomática (RATZ-SULYOK et al., 2026). O caráter intermitente e de contato do handebol, somado à variabilidade posicional, torna o acompanhamento subjetivo do humor particularmente informativo para a individualização da carga.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afetiva à carga, contudo, é dinâmica: reduções de carga diminuem a fadiga percebida e melhoram o desempenho, ao passo que microciclos de acúmulo tendem a rebaixar o vigor e a elevar a fadiga. A última semana de pré-temporada concentra a carga que antecede a competição e constitui, portanto, uma janela crítica para descrever como cada uma das seis subescalas do BRUMS se comporta ao longo dos dias e dentro de cada dia de treino, como as dimensões se relacionam entre si — em particular, se e quando o afeto negativo (depressão, raiva, confusão) passa a acompanhar a fadiga — e em que medida a resposta média do grupo se traduz em mudanças confiáveis no nível individual. Apesar da ampla adoção da BRUMS, faltam descrições detalhadas, subescala a subescala e do grupo ao sujeito, do comportamento do humor em um microciclo pré-competitivo de handebol de elite. Endereçar essa lacuna, com estatística comparativa robusta (variação percentual, intervalos de confiança, tamanho de efeito e mudança confiável individual), fornece à comissão técnica informação diretamente acionável e contribui para a literatura de monitoramento em modalidades coletivas intermitentes.</w:t>
      </w:r>
    </w:p>
    <w:p>
      <w:pPr>
        <w:spacing w:before="200" w:after="80" w:line="360" w:lineRule="auto"/>
      </w:pPr>
      <w:r>
        <w:rPr>
          <w:b/>
          <w:sz w:val="24"/>
        </w:rPr>
        <w:t>2 OBJETIVO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Objetivo geral: avaliar o perfil de humor de atletas de handebol de elite na última semana de pré-temporada, caracterizando e comparando o comportamento das seis subescalas do BRUMS e da Perturbação Total do Humor, do nível do grupo ao nível do sujeito.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Objetivos específicos: (i) caracterizar exploratoriamente cada subescala (tendência central, dispersão, intervalo de confiança e coeficiente de variação); (ii) comparar, no grupo, a resposta aguda pré→pós e a variação do Dia 1 ao Dia 7 de cada subescala, com variação percentual, tamanho de efeito e magnitude; (iii) analisar a estrutura de correlação entre as subescalas, com ênfase nos dias de maior vigor e de maior fadiga; (iv) quantificar, no nível do sujeito, a proporção de atletas com mudança confiável (RCI) em cada subescala; e (v) classificar a evolução dos perfis de humor.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Hipóteses: (H1) a deterioração concentra-se no eixo energia–fadiga (vigor ↓, fadiga ↑) com magnitude média a grande, enquanto as subescalas negativas de valência não fadiga permanecem estáveis por efeito de piso; (H2) o perfil de humor migra do iceberg para o perfil de fadiga (barbatana de tubarão); (H3) o afeto negativo acopla-se à fadiga somente sob carga acumulada (correlação maior no dia de maior fadiga do que no de maior vigor); e (H4) a resposta é heterogênea entre atletas, exigindo interpretação individualizada.</w:t>
      </w:r>
    </w:p>
    <w:p>
      <w:pPr>
        <w:spacing w:before="200" w:after="80" w:line="360" w:lineRule="auto"/>
      </w:pPr>
      <w:r>
        <w:rPr>
          <w:b/>
          <w:sz w:val="24"/>
        </w:rPr>
        <w:t>3 MÉTODO</w:t>
      </w:r>
    </w:p>
    <w:p>
      <w:pPr>
        <w:spacing w:before="200" w:after="80" w:line="360" w:lineRule="auto"/>
      </w:pPr>
      <w:r>
        <w:rPr>
          <w:b/>
          <w:sz w:val="24"/>
        </w:rPr>
        <w:t>3.1 Delineamento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Estudo descritivo-comparativo, longitudinal e observacional, de medidas repetidas intraindividuais, conduzido em condições ecológicas de treinamento durante o microciclo pré-competitivo (21–27/04/2024).</w:t>
      </w:r>
    </w:p>
    <w:p>
      <w:pPr>
        <w:spacing w:before="200" w:after="80" w:line="360" w:lineRule="auto"/>
      </w:pPr>
      <w:r>
        <w:rPr>
          <w:b/>
          <w:sz w:val="24"/>
        </w:rPr>
        <w:t>3.2 Amostra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Participaram 27 atletas de handebol do sexo masculino de nível competitivo, distribuídos nas posições da modalidade (Armador (11), Ala (9), Pivô (4), Goleiro (3)). A caracterização sociodemográfica e antropométrica consta na Tabela 1.</w:t>
      </w:r>
    </w:p>
    <w:p>
      <w:pPr>
        <w:spacing w:before="160" w:after="40"/>
      </w:pPr>
      <w:r>
        <w:rPr>
          <w:sz w:val="22"/>
        </w:rPr>
        <w:t>Tabela 1 – Caracterização sociodemográfica e antropométrica da amostra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IC95%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20,5–23,5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179,8–185,2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79,3–92,3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9,4–13,8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na modalidade (anos)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9,0–12,0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200" w:after="80" w:line="360" w:lineRule="auto"/>
      </w:pPr>
      <w:r>
        <w:rPr>
          <w:b/>
          <w:sz w:val="24"/>
        </w:rPr>
        <w:t>3.3 Instrumento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BRUMS-24: 24 adjetivos em escala de 0 (“nada”) a 4 (“extremamente”), agrupados em seis subescalas de 0 a 16 pontos (tensão, depressão, raiva, vigor, fadiga e confusão). A Perturbação Total do Humor (PTH) resume o perfil: PTH = tensão + depressão + raiva + fadiga + confusão − vigor.</w:t>
      </w:r>
    </w:p>
    <w:p>
      <w:pPr>
        <w:spacing w:before="200" w:after="80" w:line="360" w:lineRule="auto"/>
      </w:pPr>
      <w:r>
        <w:rPr>
          <w:b/>
          <w:sz w:val="24"/>
        </w:rPr>
        <w:t>3.4 Procedimentos e framework das coletas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com carimbo de data/hora, duas vezes por dia de treino — a primeira resposta tomada como pré e a última como pós —, ao longo de sete dias, totalizando 456 observações válidas. A Figura 1 sintetiza o framework das coletas.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381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framewo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8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Framework das coletas: da amostra e do microciclo às observações do BRUMS, às subescalas e à classificação de perfis.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200" w:after="80" w:line="360" w:lineRule="auto"/>
      </w:pPr>
      <w:r>
        <w:rPr>
          <w:b/>
          <w:sz w:val="24"/>
        </w:rPr>
        <w:t>3.5 Análise estatística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distribuição das subescalas foi inspecionada e, dado o predomínio de assimetria e efeito de piso nas dimensões negativas, adotaram-se procedimentos não paramétricos. Reportou-se estatística descritiva (média, mediana, desvio-padrão, IC95%, coeficiente de variação e amplitude), no geral, por dia e nos momentos pré e pós. As comparações pré→pós e Dia 1→Dia 7 empregaram o teste de Wilcoxon pareado, com variação absoluta e percentual, tamanho de efeito pareado (dz de Cohen) com IC95% e classificação de magnitude (trivial &lt; 0,2; pequeno &lt; 0,5; médio &lt; 0,8; grande ≥ 0,8). A estrutura de associação entre subescalas foi examinada por correlação de Spearman (matriz entre atletas e correlações diárias), com ênfase nos dias de maior vigor e de maior fadiga. No nível do sujeito, calculou-se o Índice de Mudança Confiável (RCI = (D7 − D1)/EP_dif; EP_dif = DP_D1·√[2(1 − α)]; α = fidedignidade interna), considerando mudança confiável quando |RCI| ≥ 1,96 (JACOBSON; TRUAX, 1991). Cada observação foi classificada nos seis perfis de humor por proximidade aos protótipos em escores padronizados. Adotou-se α = 0,05.</w:t>
      </w:r>
    </w:p>
    <w:p>
      <w:pPr>
        <w:spacing w:before="200" w:after="80" w:line="360" w:lineRule="auto"/>
      </w:pPr>
      <w:r>
        <w:rPr>
          <w:b/>
          <w:sz w:val="24"/>
        </w:rPr>
        <w:t>4 RESULTADOS</w:t>
      </w:r>
    </w:p>
    <w:p>
      <w:pPr>
        <w:spacing w:before="200" w:after="80" w:line="360" w:lineRule="auto"/>
      </w:pPr>
      <w:r>
        <w:rPr>
          <w:b/>
          <w:sz w:val="24"/>
        </w:rPr>
        <w:t>4.1 Análise descritiva exploratória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Tabela 2 apresenta a descritiva geral das seis subescalas e da PTH. As dimensões negativas de valência não fadiga (tensão, depressão, raiva e confusão) situam-se próximas do piso, com medianas baixas e coeficientes de variação elevados, enquanto o vigor e a fadiga concentram a média e a dispersão informativas — é no eixo energia–fadiga que reside a variabilidade útil do microciclo. A Figura 2 exibe as trajetórias diárias com bandas de confiança de 95%.</w:t>
      </w:r>
    </w:p>
    <w:p>
      <w:pPr>
        <w:spacing w:before="160" w:after="40"/>
      </w:pPr>
      <w:r>
        <w:rPr>
          <w:sz w:val="22"/>
        </w:rPr>
        <w:t>Tabela 2 – Estatística descritiva geral das subescalas do BRUMS e da PTH (456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Subescala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IC95%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CV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3,12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5,41–5,98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5,29–6,00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Perturbação Total do Humor (PTH)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4,39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9,64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3,51–5,28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-12–52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1,22–1,56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0,79–1,21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2,73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1,35–1,85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0,34–0,56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263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0–9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3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traj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Trajetória das subescalas do BRUMS ao longo da semana (médias diárias; áreas sombreadas = IC95%).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200" w:after="80" w:line="360" w:lineRule="auto"/>
      </w:pPr>
      <w:r>
        <w:rPr>
          <w:b/>
          <w:sz w:val="24"/>
        </w:rPr>
        <w:t>4.2 Comparações no nível do grupo por subescala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Tabelas 3 e 4 reúnem, para todas as subescalas, a resposta aguda pré→pós e a variação Dia 1 → Dia 7, com variação percentual, tamanho de efeito (dz) com IC95%, significância e magnitude. A seguir, cada subescala é interpretada em ordem lógica, iniciando pelo eixo energia–fadiga.</w:t>
      </w:r>
    </w:p>
    <w:p>
      <w:pPr>
        <w:spacing w:before="160" w:after="40"/>
      </w:pPr>
      <w:r>
        <w:rPr>
          <w:sz w:val="22"/>
        </w:rPr>
        <w:t>Tabela 3 – Resposta aguda pré → pós agregada na semana, por subescala.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Subescala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Pré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Pós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Δ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Δ%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dz [IC95%]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Magnitude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6,22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5,04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-1,18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-19%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-0,74 [-1,81, -0,55]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4,50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6,03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+1,52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+34%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+0,60 [0,52, 2,53]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Perturbação Total do Humor (PTH)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2,57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5,95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+3,38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+131%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+0,66 [1,35, 5,41]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1,44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1,60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+11%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+0,21 [-0,15, 0,46]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0,420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+37%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+0,39 [-0,01, 0,72]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0,085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1,58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+15%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+0,14 [-0,37, 0,77]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0,558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0,47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-8%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-0,09 [-0,23, 0,15]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0,586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4 – Comparação Dia 1 → Dia 7, por subescala.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Subescala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Dia 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Dia 7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Δ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Δ%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dz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Magnitude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7,64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4,49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-3,15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-41%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-0,95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grande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7,46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+3,19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+75%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Perturbação Total do Humor (PTH)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3,36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8,28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+4,92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+147%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+0,41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0,104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-1,20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-56%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-0,59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1,27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+24%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0,752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2,48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2,59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+5%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-53%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-0,46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0,068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200" w:after="80" w:line="360" w:lineRule="auto"/>
      </w:pPr>
      <w:r>
        <w:rPr>
          <w:b/>
          <w:sz w:val="24"/>
        </w:rPr>
        <w:t>4.2.1 Vigor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vigor foi a subescala de maior média (5,70 ± 3,12) e apresentou a resposta mais expressiva: caiu 19% do pré ao pós (Δ = -1,18; dz = -0,74; p = 0,001; magnitude média) e recuou do Dia 1 ao Dia 7 com efeito grande (Δ = -3,15; -41%; dz = -0,95; p = 0,001). É a dimensão que melhor sinaliza a deterioração da prontidão ao longo do microciclo.</w:t>
      </w:r>
    </w:p>
    <w:p>
      <w:pPr>
        <w:spacing w:before="200" w:after="80" w:line="360" w:lineRule="auto"/>
      </w:pPr>
      <w:r>
        <w:rPr>
          <w:b/>
          <w:sz w:val="24"/>
        </w:rPr>
        <w:t>4.2.2 Fadiga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fadiga elevou-se de forma consistente: +34% do pré ao pós (Δ = +1,52; dz = 0,60; p = 0,005) e +75% do Dia 1 ao Dia 7 (Δ = +3,19; dz = 0,72; p = 0,004), ambas de magnitude média. Junto ao vigor, compõe o eixo energia–fadiga onde se concentra a resposta ao acúmulo de carga.</w:t>
      </w:r>
    </w:p>
    <w:p>
      <w:pPr>
        <w:spacing w:before="200" w:after="80" w:line="360" w:lineRule="auto"/>
      </w:pPr>
      <w:r>
        <w:rPr>
          <w:b/>
          <w:sz w:val="24"/>
        </w:rPr>
        <w:t>4.2.3 Perturbação Total do Humor (PTH)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PTH, síntese do perfil, aumentou 131% do pré ao pós (Δ = +3,38; dz = 0,66; p = 0,005) e +147% do Dia 1 ao Dia 7 (dz = 0,41; p = 0,104), refletindo sobretudo o movimento do eixo energia–fadiga.</w:t>
      </w:r>
    </w:p>
    <w:p>
      <w:pPr>
        <w:spacing w:before="200" w:after="80" w:line="360" w:lineRule="auto"/>
      </w:pPr>
      <w:r>
        <w:rPr>
          <w:b/>
          <w:sz w:val="24"/>
        </w:rPr>
        <w:t>4.2.4 Tensão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tensão manteve-se baixa e sem resposta aguda relevante (pré→pós dz = +0,21; p = 0,420), mas decresceu do Dia 1 ao Dia 7 (Δ = -1,20; dz = -0,59; p = 0,011, magnitude média) — uma acomodação da apreensão inicial do microciclo, sendo mais alta no início da semana.</w:t>
      </w:r>
    </w:p>
    <w:p>
      <w:pPr>
        <w:spacing w:before="200" w:after="80" w:line="360" w:lineRule="auto"/>
      </w:pPr>
      <w:r>
        <w:rPr>
          <w:b/>
          <w:sz w:val="24"/>
        </w:rPr>
        <w:t>4.2.5 Depressão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depressão operou próxima do piso, com leve elevação aguda (pré→pós +37%; dz = +0,39; p = 0,085) e pico intermediário no Dia 4 (1,35), sugerindo um vale afetivo no meio da semana, sem instalar quadro clínico.</w:t>
      </w:r>
    </w:p>
    <w:p>
      <w:pPr>
        <w:spacing w:before="200" w:after="80" w:line="360" w:lineRule="auto"/>
      </w:pPr>
      <w:r>
        <w:rPr>
          <w:b/>
          <w:sz w:val="24"/>
        </w:rPr>
        <w:t>4.2.6 Raiva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raiva foi a negativa mais reativa e atingiu o máximo no dia mais fadigado (pico no Dia 7 = 2,39), acompanhando o acúmulo de carga, embora sem resposta aguda intra-dia significativa (pré→pós p = 0,558).</w:t>
      </w:r>
    </w:p>
    <w:p>
      <w:pPr>
        <w:spacing w:before="200" w:after="80" w:line="360" w:lineRule="auto"/>
      </w:pPr>
      <w:r>
        <w:rPr>
          <w:b/>
          <w:sz w:val="24"/>
        </w:rPr>
        <w:t>4.2.7 Confusão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confusão foi a subescala de menor expressão (média 0,45), mais alta no início e decrescente ao longo da semana, atingindo o mínimo (0,15) — sem resposta aguda relevante (pré→pós dz = -0,09).</w:t>
      </w:r>
    </w:p>
    <w:p>
      <w:pPr>
        <w:spacing w:before="200" w:after="80" w:line="360" w:lineRule="auto"/>
      </w:pPr>
      <w:r>
        <w:rPr>
          <w:b/>
          <w:sz w:val="24"/>
        </w:rPr>
        <w:t>4.3 Estrutura de correlação e ênfase nos dias de maior vigor e de maior fadiga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matriz de correlação entre atletas (Figura 3) revela um agrupamento coeso de afeto negativo: a depressão correlaciona-se com a raiva (ρ = +0,52), a confusão (ρ = +0,51) e a tensão (ρ = +0,35), e — de forma relevante — com a fadiga (ρ = +0,44); a raiva também acompanha a fadiga (ρ = +0,42). O eixo energia–fadiga aparece invertido (vigor × fadiga ρ = -0,38) e o vigor é praticamente independente das negativas.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780000" cy="33190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31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Matriz de correlação de Spearman entre as subescalas do BRUMS (nível entre atletas).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contraste entre os dias extremos é o achado mais expressivo (Figura 4; Tabela 5). No dia de maior vigor (Dia 1, grupo descansado), o afeto negativo é quase independente da fadiga (depressão ρ = +0,20; raiva ρ = +0,14; confusão ρ = -0,04). No dia de maior fadiga (Dia 7), o acoplamento torna-se forte (depressão ρ = +0,75; raiva ρ = +0,64; confusão ρ = +0,37), com associação negativa ao vigor. Ou seja, quando o grupo está fresco, quem está mais irritado ou abatido não é necessariamente o mais cansado; sob carga acumulada, as dimensões negativas consolidam-se com a fadiga e o perfil de humor “fecha”. O padrão cresce progressivamente ao longo dos dias, com recuo transitório no Dia 5 (menor carga).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083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corrfocu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8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Acoplamento das subescalas negativas com a fadiga: (A) dia de maior vigor (D1) vs. dia de maior fadiga (D7); (B) evolução dia a dia.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5 – Correlação (ρ de Spearman) das subescalas negativas com a fadiga e o vigor no dia de maior vigor (D1) e no de maior fadiga (D7).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Subescala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ρ×Fadiga (D1)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ρ×Fadiga (D7)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ρ×Vigor (D1)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ρ×Vigor (D7)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+0,20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-0,13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-0,28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+0,20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-0,29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+0,37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+0,06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+0,38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200" w:after="80" w:line="360" w:lineRule="auto"/>
      </w:pPr>
      <w:r>
        <w:rPr>
          <w:b/>
          <w:sz w:val="24"/>
        </w:rPr>
        <w:t>4.4 Comportamento intra-dia (pré → pós por dia)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padrão intra-dia repete-se com regularidade: em todos os dias de treino o vigor cai e a fadiga e a PTH sobem do pré para o pós, indicando um choque agudo consistente a cada sessão, enquanto as subescalas negativas variam pouco dentro do dia (Figura 5).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884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intrada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8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Escores pré e pós-treino por dia (vigor, fadiga, PTH) e variação intra-dia das subescalas negativas.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200" w:after="80" w:line="360" w:lineRule="auto"/>
      </w:pPr>
      <w:r>
        <w:rPr>
          <w:b/>
          <w:sz w:val="24"/>
        </w:rPr>
        <w:t>4.5 Análise no nível do sujeito por subescala (mudança confiável)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No nível individual, a mudança confiável (RCI, Dia 1 → Dia 7) distribui-se de modo desigual entre as subescalas (Tabela 6; Figura 6). A fadiga é a dimensão em que a maioria dos atletas deteriora de forma confiável (11 de 21; 52%), seguida do vigor (24% de queda confiável). As subescalas negativas de valência não fadiga não pioram no nível individual — a tensão e a confusão, inclusive, exibem apenas melhoras confiáveis (acomodação), e a depressão e a raiva apresentam proporções equilibradas de piora e melhora. Confirma-se, no sujeito, que a deterioração real do microciclo se concentra no eixo energia–fadiga.</w:t>
      </w:r>
    </w:p>
    <w:p>
      <w:pPr>
        <w:spacing w:before="160" w:after="40"/>
      </w:pPr>
      <w:r>
        <w:rPr>
          <w:sz w:val="22"/>
        </w:rPr>
        <w:t>Tabela 6 – Mudança confiável individual (RCI, Dia 1 → Dia 7) por subescala: fidedignidade, erro-padrão da diferença e número de atletas (n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Subescala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α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EP_dif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Piora confiável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Estável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Melhora confiável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2,68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(24%)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16 (76%)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 (0%)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 (52%)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 (43%)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(5%)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(14%)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 (71%)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(14%)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(19%)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(62%)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(19%)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 (0%)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19 (90%)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(10%)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 (0%)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 (86%)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(14%)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0935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rci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093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Proporção de atletas com mudança confiável (RCI) por subescala, do Dia 1 ao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200" w:after="80" w:line="360" w:lineRule="auto"/>
      </w:pPr>
      <w:r>
        <w:rPr>
          <w:b/>
          <w:sz w:val="24"/>
        </w:rPr>
        <w:t>4.6 Classificação nos perfis de humor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linha de base (Dia 1) predomina o perfil iceberg (40%), marca de prontidão; no último dia (Dia 7) o perfil de fadiga (“barbatana de tubarão”) torna-se o mais frequente (28%) e o iceberg cai para 17% (Figura 7; Tabela 7). Essa migração — do iceberg para a assinatura de fadiga funcional, sem instalação relevante de perfis de risco (submerso, iceberg invertido) — é a leitura integrada da semana.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3292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profil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32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Distribuição (%) dos seis perfis de humor por recorte: linha de base (D1), semana, último dia (D7), pré e pós.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7 – Distribuição (%) dos perfis de humor de Terry por recorte.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Semana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Pré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Pós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24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12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12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26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25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200" w:after="80" w:line="360" w:lineRule="auto"/>
      </w:pPr>
      <w:r>
        <w:rPr>
          <w:b/>
          <w:sz w:val="24"/>
        </w:rPr>
        <w:t>5 DISCUSSÃO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Os resultados confirmam as quatro hipóteses. A deterioração do humor no microciclo pré-competitivo concentrou-se no eixo energia–fadiga (H1): o vigor recuou com efeito grande (dz = -0,95) e a fadiga elevou-se com efeito médio, enquanto as subescalas negativas de valência não fadiga permaneceram próximas do piso — padrão coerente com a literatura de monitoramento, que identifica o vigor e a fadiga como as dimensões subjetivas mais sensíveis à carga (SAW; MAIN; GASTIN, 2016; THORPE et al., 2017). A migração do perfil iceberg para o de fadiga (H2) reproduz, em um microciclo de sete dias, o “derretimento do iceberg” descrito em fases de acúmulo, e é compatível com a associação entre perturbação do humor e desempenho (MORGAN, 1985; LOCHBAUM et al., 2021).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achado de que o afeto negativo se acopla à fadiga apenas sob carga acumulada (H3) — depressão × fadiga passando de ρ = +0,20 no dia de maior vigor para ρ = +0,75 no de maior fadiga — sugere que, em atletas de elite, a irritabilidade e o abatimento não são ruído aleatório, mas sinais que se organizam com a exaustão, o que reforça o valor de interpretar as subescalas em conjunto e à luz do estado de fadiga. Por fim, a heterogeneidade individual (H4), com a fadiga sendo a única subescala em que a maioria dos atletas deteriora de forma confiável, sustenta o monitoramento individualizado por tendência e referenciado à linha de base de cada atleta, em linha com as recomendações de consenso (KELLMANN et al., 2018). O caráter intermitente e de alta intensidade do handebol (KARCHER; BUCHHEIT, 2014) contextualiza a magnitude da resposta de fadiga observada.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Como limitações, destacam-se o tamanho amostral (n = 27) e o efeito de piso das subescalas negativas, que reduz a variância e a fidedignidade da tensão e da confusão, e o caráter observacional de fase única, que não permite inferência causal sobre a carga. Ainda assim, o desenho de medidas repetidas, o volume de observações e a estatística baseada em tamanho de efeito e mudança confiável conferem robustez descritiva aos achados.</w:t>
      </w:r>
    </w:p>
    <w:p>
      <w:pPr>
        <w:spacing w:before="200" w:after="80" w:line="360" w:lineRule="auto"/>
      </w:pPr>
      <w:r>
        <w:rPr>
          <w:b/>
          <w:sz w:val="24"/>
        </w:rPr>
        <w:t>6 CONSIDERAÇÕES FINAIS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o perfil de humor de handebolistas de elite migrou da prontidão (iceberg) para a fadiga funcional (barbatana de tubarão), com a deterioração concentrada no eixo energia–fadiga — vigor em queda de efeito grande e fadiga em ascensão —, tanto no grupo quanto no sujeito, onde a fadiga foi a única subescala a piorar de forma confiável na maioria dos atletas. As dimensões negativas mantiveram-se estáveis e só se acoplaram à fadiga sob carga acumulada. Recomenda-se monitorar o eixo energia–fadiga por tendência e referenciado à linha de base individual, com atenção redobrada ao início do microciclo (choque de carga) e ao último dia (fadiga acumulada).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JACOBSON, N. S.; TRUAX, P. Clinical significance: a statistical approach to defining meaningful change in psychotherapy research. Journal of Consulting and Clinical Psychology, v. 59, n. 1, p. 12–19, 1991. DOI: 10.1037/0022-006X.59.1.12.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LEW, P. C. F. et al. Cross-cultural validation of the Malaysian Mood Scale and tests of between-group mood differences. International Journal of Environmental Research and Public Health, v. 20, n. 4, 3348, 2023. DOI: 10.3390/ijerph20043348.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MADSEN, K.; AAGAARD, P. Match performance and physiological capacity of female elite team handball players. International Journal of Sports Medicine, v. 35, n. 7, p. 595–607, 2013. DOI: 10.1055/s-0033-1358713.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RATZ-SULYOK, F. Z. et al. Associations between endocrine status and stress, mood and psychosomatic status in elite handball players. Sports, v. 14, n. 7, 289, 2026. DOI: 10.3390/sports14070289.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TAN, C. et al. The structural validity and latent profile characteristics of the Abbreviated Profile of Mood States among Chinese athletes. BMC Psychiatry, v. 24, n. 1, 636, 2024. DOI: 10.1186/s12888-024-06092-5.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LANE, H. J.; KEOHANE, L. Development and validation of a mood measure for adolescents. Journal of Sports Sciences, v. 17, n. 11, p. 861–872, 1999. DOI: 10.1080/026404199365425.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THORPE, R. T. et al. Monitoring fatigue status in elite team-sport athletes: implications for practice. International Journal of Sports Physiology and Performance, v. 12, s2, p. S2-27–S2-34, 2017. DOI: 10.1123/ijspp.2016-0434.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