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As variáveis psicológicas associam-se ao desempenho e à saúde do atleta e manifestam-se, no handebol, sob a oposição direta do adversário, tanto no treinamento quanto na competição. O objetivo foi analisar o estado da arte das evidências científicas sobre as variáveis psicológicas investigadas no treinamento e na competição do handebol, com ênfase nos estudos de intervenção, por meio de uma revisão de mapeamento. A busca foi realizada em oito bases de dados, sem restrição de data, entre maio e setembro de 2026, e a seleção obedeceu à estratégia PECOS. Dos 4.144 registros identificados, 199 estudos, publicados entre 1994 e 2026, atenderam aos critérios de inclusão. A produção concentrou-se na Espanha (49 estudos) e no Brasil (21), em atletas de alto rendimento (43,7%) e de categorias de formação (25,1%), com mediana de 63,5 participantes por estudo. Motivação e autoeficácia (80 estudos) e ansiedade e estresse (72) foram os domínios mais investigados, ao passo que burnout e saúde mental reuniram 14 estudos. Desde 2010, a produção duplicou a cada 4,4 anos, e o domínio de sono, bem-estar e recuperação superou o de motivação e autoeficácia. Apenas 28 estudos adotaram delineamento experimental, e 24 testaram intervenções;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[1,2]. A prevalência de sintomas de transtornos mentais em atletas de elite é comparável à da população geral [3], e a evidência que fundamenta as recomendações do Comitê Olímpico Internacional foi recentemente sistematizada [4]. Nos esportes coletivos de invasão, essas variáveis manifestam-se sob a oposição direta do adversário, condição que o handebol leva ao extremo.</w:t>
      </w:r>
    </w:p>
    <w:p>
      <w:pPr>
        <w:spacing w:before="0" w:after="0" w:lineRule="exact" w:line="217"/>
        <w:ind w:left="2381" w:firstLine="425"/>
        <w:jc w:val="both"/>
      </w:pPr>
      <w:r>
        <w:rPr>
          <w:rFonts w:ascii="Palatino Linotype" w:hAnsi="Palatino Linotype"/>
          <w:i w:val="0"/>
          <w:sz w:val="20"/>
        </w:rPr>
        <w:t>Essa condição decorre da própria estrutura do jogo. Disputado por duas equipes de sete jogadores, em quadra de 40 × 20 m e em dois tempos de 30 min, o handebol caracteriza-se como esporte intermitente de alta intensidade, com saltos, arremessos, mudanças de direção e contato físico constante [5,6], cuja carga varia conforme as fases da partida, a posição e o sistema defensivo [7–10]. O regulamento intensifica essa exigência: o sétimo jogador de linha expõe a equipe ao gol vazio e reorganiza a defesa adversária [11–13]; a exclusão de dois minutos impõe períodos de inferioridade numérica [14,15]; e o tempo técnico modifica a dinâmica do placar em jogos equilibrados [16]. Cada uma dessas situações converte o placar e a ação do adversário em fonte permanente de pressão.</w:t>
      </w:r>
    </w:p>
    <w:p>
      <w:pPr>
        <w:spacing w:before="0" w:after="0" w:lineRule="exact" w:line="217"/>
        <w:ind w:left="2381" w:firstLine="425"/>
        <w:jc w:val="both"/>
      </w:pPr>
      <w:r>
        <w:rPr>
          <w:rFonts w:ascii="Palatino Linotype" w:hAnsi="Palatino Linotype"/>
          <w:i w:val="0"/>
          <w:sz w:val="20"/>
        </w:rPr>
        <w:t>Sob essa pressão, o desempenho depende de exigências cognitivas elevadas. O jogador decide em frações de segundo, com espaço reduzido e marcação próxima; jogadores experientes tendem a escolher as primeiras opções geradas, estratégia eficiente diante da escassez de tempo [17,18], e a capacidade de decisão diferencia níveis competitivos mesmo quando a aptidão física não o faz [19]. A análise situacional constitui elemento central do desempenho de elite [20], e a atenção, o processamento de informação, a antecipação [21], a estratégia visual de rastreamento de múltiplos alvos [22] e as representações mentais das ações táticas [23] têm sido examinadas conforme o nível, a idade e a expertise dos jogadores. No tiro de sete metros, o goleiro antecipa o arremesso a partir de pistas cinemáticas [24,25], com padrões de olhar que diferem entre homens e mulheres de elite [26], decisões de natureza intuitiva [27] e acúmulo de evidência modulado pelo contexto da cobrança [28]. Até a fadiga mental interfere nesse processo: induzida pelo uso de redes sociais, retardou o tempo de reação visual de handebolistas sem prejudicar a decisão [29].</w:t>
      </w:r>
    </w:p>
    <w:p>
      <w:pPr>
        <w:spacing w:before="0" w:after="0" w:lineRule="exact" w:line="217"/>
        <w:ind w:left="2381" w:firstLine="425"/>
        <w:jc w:val="both"/>
      </w:pPr>
      <w:r>
        <w:rPr>
          <w:rFonts w:ascii="Palatino Linotype" w:hAnsi="Palatino Linotype"/>
          <w:i w:val="0"/>
          <w:sz w:val="20"/>
        </w:rPr>
        <w:t>Essas exigências convertem o estado psicológico do atleta em variável de desempenho, e estudos recentes com handebolistas confirmam essa relação em múltiplas dimensões. O estresse percebido acompanha a carga de treino e o cortisol [30]; a fadiga, a dor e o estresse aumentam ao longo de competições de vários dias [31]; o sono e a recuperação pioram antes dos jogos fora de casa [32]; e o clima motivacional criado pelo treinador associa-se à ansiedade, à depressão e à autoestima de adolescentes [33]. A pressão situacional eleva a ansiedade no tiro de sete metros [34], embora o momento decisivo não reduza necessariamente o acerto [35]. No plano aplicado, programas de mindfulness [36,37], de imagética [38,39] e de hipnose adaptada à equipe [40] relataram efeitos sobre a tomada de decisão, o controle inibitório, o tempo de reação, a precisão do arremesso e a ansiedade pré-competitiva.</w:t>
      </w:r>
    </w:p>
    <w:p>
      <w:pPr>
        <w:spacing w:before="0" w:after="0" w:lineRule="exact" w:line="217"/>
        <w:ind w:left="2381" w:firstLine="425"/>
        <w:jc w:val="both"/>
      </w:pPr>
      <w:r>
        <w:rPr>
          <w:rFonts w:ascii="Palatino Linotype" w:hAnsi="Palatino Linotype"/>
          <w:i w:val="0"/>
          <w:sz w:val="20"/>
        </w:rPr>
        <w:t>Apesar desse acúmulo, o conhecimento permanece fragmentado. A produção científica sobre o handebol privilegiou os componentes físicos, técnicos e táticos [41,42], e a evidência psicológica distribui-se entre construtos, instrumentos e delineamentos heterogêneos, o que compromete a comparabilidade entre estudos [43]. As metanálises de intervenções psicológicas no esporte relatam efeitos positivos, porém sensíveis ao delineamento e à qualidade dos estudos primários [44,45], e a síntese quantitativa torna-se prematura quando predominam estudos observacionais e de pequeno porte [46,47]. Para treinadores e psicólogos do esporte, a decisão depende do que foi efetivamente testado [48], e não do que foi apenas descrito.</w:t>
      </w:r>
    </w:p>
    <w:p>
      <w:pPr>
        <w:spacing w:before="0" w:after="0" w:lineRule="exact" w:line="217"/>
        <w:ind w:left="2381" w:firstLine="425"/>
        <w:jc w:val="both"/>
      </w:pPr>
      <w:r>
        <w:rPr>
          <w:rFonts w:ascii="Palatino Linotype" w:hAnsi="Palatino Linotype"/>
          <w:i w:val="0"/>
          <w:sz w:val="20"/>
        </w:rPr>
        <w:t>Até o momento, não foram identificadas revisões abrangentes que reúnam as evidências sobre as variáveis psicológicas investigadas no treinamento e na competição do handebol, tampouco revisões que formulem questões específicas sobre o tema e explicitem o que foi estudado e quais lacunas persistem. As revisões de mapeamento são estudos que mapeiam e caracterizam a pesquisa em determinada área e identificam lacunas na literatura [49–52], e esse tipo de estudo ainda não foi realizado sobre a psicologia do handebol.</w:t>
      </w:r>
    </w:p>
    <w:p>
      <w:pPr>
        <w:spacing w:before="0" w:after="0" w:lineRule="exact" w:line="217"/>
        <w:ind w:left="2381" w:firstLine="425"/>
        <w:jc w:val="both"/>
      </w:pPr>
      <w:r>
        <w:rPr>
          <w:rFonts w:ascii="Palatino Linotype" w:hAnsi="Palatino Linotype"/>
          <w:i w:val="0"/>
          <w:sz w:val="20"/>
        </w:rPr>
        <w:t>Assim, a fim de reunir e analisar o volume de pesquisas disponível, realizou-se uma revisão de mapeamento com o objetivo de mapear e analisar as evidências científicas sobre as variáveis psicológicas investigadas no treinamento e na competição do handebol, com ênfase nos estudos de intervenção. Partiu-se da hipótese de que a produção acumulou estudos descritivos e de associação em ritmo superior ao de estudos experimentais.</w:t>
      </w:r>
    </w:p>
    <w:p>
      <w:pPr>
        <w:keepNext/>
        <w:spacing w:before="200" w:after="80" w:lineRule="exact" w:line="300"/>
        <w:ind w:left="2381" w:firstLine="0"/>
        <w:jc w:val="left"/>
      </w:pPr>
      <w:r>
        <w:rPr>
          <w:rFonts w:ascii="Palatino Linotype" w:hAnsi="Palatino Linotype"/>
          <w:b/>
          <w:sz w:val="24"/>
        </w:rPr>
        <w:t>2. Questões de Pesquisa da Revisão</w:t>
      </w:r>
    </w:p>
    <w:p>
      <w:pPr>
        <w:spacing w:before="0" w:after="0" w:lineRule="exact" w:line="217"/>
        <w:ind w:left="2381" w:firstLine="425"/>
        <w:jc w:val="both"/>
      </w:pPr>
      <w:r>
        <w:rPr>
          <w:rFonts w:ascii="Palatino Linotype" w:hAnsi="Palatino Linotype"/>
          <w:i w:val="0"/>
          <w:sz w:val="20"/>
        </w:rPr>
        <w:t>Com base no trabalho de Fernández-Sotos et al. [53], um aspecto metodológico fundamental para o êxito de uma revisão de mapeamento é a definição das questões de pesquisa (QP) a serem respondidas. Para esta revisão de mapeamento, foram definidas cinco QP:</w:t>
      </w:r>
    </w:p>
    <w:p>
      <w:pPr>
        <w:spacing w:before="0" w:after="20" w:lineRule="exact" w:line="217"/>
        <w:ind w:left="2636" w:hanging="255"/>
        <w:jc w:val="both"/>
      </w:pPr>
      <w:r>
        <w:rPr>
          <w:rFonts w:ascii="Palatino Linotype" w:hAnsi="Palatino Linotype"/>
          <w:i w:val="0"/>
          <w:sz w:val="20"/>
        </w:rPr>
        <w:t>-</w:t>
        <w:tab/>
      </w:r>
      <w:r>
        <w:rPr>
          <w:rFonts w:ascii="Palatino Linotype" w:hAnsi="Palatino Linotype"/>
          <w:b/>
          <w:sz w:val="20"/>
        </w:rPr>
        <w:t>QP1.</w:t>
      </w:r>
      <w:r>
        <w:rPr>
          <w:rFonts w:ascii="Palatino Linotype" w:hAnsi="Palatino Linotype"/>
          <w:i w:val="0"/>
          <w:sz w:val="20"/>
        </w:rPr>
        <w:t xml:space="preserve"> Quantos estudos foram publicados, e quais são as características dos estudos e das populações investigadas?</w:t>
      </w:r>
    </w:p>
    <w:p>
      <w:pPr>
        <w:spacing w:before="0" w:after="20" w:lineRule="exact" w:line="217"/>
        <w:ind w:left="2636" w:hanging="255"/>
        <w:jc w:val="both"/>
      </w:pPr>
      <w:r>
        <w:rPr>
          <w:rFonts w:ascii="Palatino Linotype" w:hAnsi="Palatino Linotype"/>
          <w:i w:val="0"/>
          <w:sz w:val="20"/>
        </w:rPr>
        <w:t>-</w:t>
        <w:tab/>
      </w:r>
      <w:r>
        <w:rPr>
          <w:rFonts w:ascii="Palatino Linotype" w:hAnsi="Palatino Linotype"/>
          <w:b/>
          <w:sz w:val="20"/>
        </w:rPr>
        <w:t>QP2.</w:t>
      </w:r>
      <w:r>
        <w:rPr>
          <w:rFonts w:ascii="Palatino Linotype" w:hAnsi="Palatino Linotype"/>
          <w:i w:val="0"/>
          <w:sz w:val="20"/>
        </w:rPr>
        <w:t xml:space="preserve"> Quais variáveis psicológicas foram investigadas, como se distribuem entre os domínios conceituais e quais temas emergem da combinação dessas variáveis?</w:t>
      </w:r>
    </w:p>
    <w:p>
      <w:pPr>
        <w:spacing w:before="0" w:after="20" w:lineRule="exact" w:line="217"/>
        <w:ind w:left="2636" w:hanging="255"/>
        <w:jc w:val="both"/>
      </w:pPr>
      <w:r>
        <w:rPr>
          <w:rFonts w:ascii="Palatino Linotype" w:hAnsi="Palatino Linotype"/>
          <w:i w:val="0"/>
          <w:sz w:val="20"/>
        </w:rPr>
        <w:t>-</w:t>
        <w:tab/>
      </w:r>
      <w:r>
        <w:rPr>
          <w:rFonts w:ascii="Palatino Linotype" w:hAnsi="Palatino Linotype"/>
          <w:b/>
          <w:sz w:val="20"/>
        </w:rPr>
        <w:t>QP3.</w:t>
      </w:r>
      <w:r>
        <w:rPr>
          <w:rFonts w:ascii="Palatino Linotype" w:hAnsi="Palatino Linotype"/>
          <w:i w:val="0"/>
          <w:sz w:val="20"/>
        </w:rPr>
        <w:t xml:space="preserve"> Em que contextos (treinamento e competição), países e períodos essas variáveis foram investigadas?</w:t>
      </w:r>
    </w:p>
    <w:p>
      <w:pPr>
        <w:spacing w:before="0" w:after="20" w:lineRule="exact" w:line="217"/>
        <w:ind w:left="2636" w:hanging="255"/>
        <w:jc w:val="both"/>
      </w:pPr>
      <w:r>
        <w:rPr>
          <w:rFonts w:ascii="Palatino Linotype" w:hAnsi="Palatino Linotype"/>
          <w:i w:val="0"/>
          <w:sz w:val="20"/>
        </w:rPr>
        <w:t>-</w:t>
        <w:tab/>
      </w:r>
      <w:r>
        <w:rPr>
          <w:rFonts w:ascii="Palatino Linotype" w:hAnsi="Palatino Linotype"/>
          <w:b/>
          <w:sz w:val="20"/>
        </w:rPr>
        <w:t>QP4.</w:t>
      </w:r>
      <w:r>
        <w:rPr>
          <w:rFonts w:ascii="Palatino Linotype" w:hAnsi="Palatino Linotype"/>
          <w:i w:val="0"/>
          <w:sz w:val="20"/>
        </w:rPr>
        <w:t xml:space="preserve"> Quais delineamentos foram empregados, e quais são os métodos e os protocolos das intervenções testadas?</w:t>
      </w:r>
    </w:p>
    <w:p>
      <w:pPr>
        <w:spacing w:before="0" w:after="20" w:lineRule="exact" w:line="217"/>
        <w:ind w:left="2636" w:hanging="255"/>
        <w:jc w:val="both"/>
      </w:pPr>
      <w:r>
        <w:rPr>
          <w:rFonts w:ascii="Palatino Linotype" w:hAnsi="Palatino Linotype"/>
          <w:i w:val="0"/>
          <w:sz w:val="20"/>
        </w:rPr>
        <w:t>-</w:t>
        <w:tab/>
      </w:r>
      <w:r>
        <w:rPr>
          <w:rFonts w:ascii="Palatino Linotype" w:hAnsi="Palatino Linotype"/>
          <w:b/>
          <w:sz w:val="20"/>
        </w:rPr>
        <w:t>QP5.</w:t>
      </w:r>
      <w:r>
        <w:rPr>
          <w:rFonts w:ascii="Palatino Linotype" w:hAnsi="Palatino Linotype"/>
          <w:i w:val="0"/>
          <w:sz w:val="20"/>
        </w:rPr>
        <w:t xml:space="preserve"> Quais resultados foram relatados, e quais combinações de variável, contexto, nível e delineamento permanecem sem investigação?</w:t>
      </w:r>
    </w:p>
    <w:p>
      <w:pPr>
        <w:keepNext/>
        <w:spacing w:before="200" w:after="80" w:lineRule="exact" w:line="300"/>
        <w:ind w:left="2381" w:firstLine="0"/>
        <w:jc w:val="left"/>
      </w:pPr>
      <w:r>
        <w:rPr>
          <w:rFonts w:ascii="Palatino Linotype" w:hAnsi="Palatino Linotype"/>
          <w:b/>
          <w:sz w:val="24"/>
        </w:rPr>
        <w:t>3. Métodos</w:t>
      </w:r>
    </w:p>
    <w:p>
      <w:pPr>
        <w:keepNext/>
        <w:spacing w:before="120" w:after="40" w:lineRule="exact" w:line="217"/>
        <w:ind w:left="2381" w:firstLine="0"/>
        <w:jc w:val="left"/>
      </w:pPr>
      <w:r>
        <w:rPr>
          <w:rFonts w:ascii="Palatino Linotype" w:hAnsi="Palatino Linotype"/>
          <w:i/>
          <w:sz w:val="20"/>
        </w:rPr>
        <w:t>3.1. Diretrizes</w:t>
      </w:r>
    </w:p>
    <w:p>
      <w:pPr>
        <w:spacing w:before="0" w:after="0" w:lineRule="exact" w:line="217"/>
        <w:ind w:left="2381" w:firstLine="425"/>
        <w:jc w:val="both"/>
      </w:pPr>
      <w:r>
        <w:rPr>
          <w:rFonts w:ascii="Palatino Linotype" w:hAnsi="Palatino Linotype"/>
          <w:i w:val="0"/>
          <w:sz w:val="20"/>
        </w:rPr>
        <w:t>Esta revisão de mapeamento foi realizada para analisar e sintetizar as evidências sobre as variáveis psicológicas investigadas no treinamento e na competição do handebol. O trabalho baseou-se nas recomendações para revisões de mapeamento [50,51] e nos conceitos compilados por Li et al. [52], com relato conforme os itens aplicáveis do PRISMA-ScR [54].</w:t>
      </w:r>
    </w:p>
    <w:p>
      <w:pPr>
        <w:spacing w:before="0" w:after="0" w:lineRule="exact" w:line="217"/>
        <w:ind w:left="2381" w:firstLine="425"/>
        <w:jc w:val="both"/>
      </w:pPr>
      <w:r>
        <w:rPr>
          <w:rFonts w:ascii="Palatino Linotype" w:hAnsi="Palatino Linotype"/>
          <w:i w:val="0"/>
          <w:sz w:val="20"/>
        </w:rPr>
        <w:t xml:space="preserve">Três filtros foram aplicados nesta revisão de mapeamento para reunir (procedimento de pesquisa), selecionar (critérios de inclusão e de exclusão) e extrair (extração dos dados) as informações relevantes da literatura [55], conforme revisões de mapeamento anteriores do grupo [56–58].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[59], e o protocolo foi registrado antes da busca.</w:t>
      </w:r>
    </w:p>
    <w:p>
      <w:pPr>
        <w:keepNext/>
        <w:spacing w:before="120" w:after="40" w:lineRule="exact" w:line="217"/>
        <w:ind w:left="2381" w:firstLine="0"/>
        <w:jc w:val="left"/>
      </w:pPr>
      <w:r>
        <w:rPr>
          <w:rFonts w:ascii="Palatino Linotype" w:hAnsi="Palatino Linotype"/>
          <w:i/>
          <w:sz w:val="20"/>
        </w:rPr>
        <w:t>3.2. Estratégia de Busca</w:t>
      </w:r>
    </w:p>
    <w:p>
      <w:pPr>
        <w:spacing w:before="0" w:after="0" w:lineRule="exact" w:line="217"/>
        <w:ind w:left="2381" w:firstLine="425"/>
        <w:jc w:val="both"/>
      </w:pPr>
      <w:r>
        <w:rPr>
          <w:rFonts w:ascii="Palatino Linotype" w:hAnsi="Palatino Linotype"/>
          <w:i w:val="0"/>
          <w:sz w:val="20"/>
        </w:rPr>
        <w:t>Realizou-se uma busca por publicações em inglês, português e espanhol nas bases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 e uma pré-classificação por regras (presença de termo da modalidade e de termo de algum domínio conceitual) definiu os registros encaminhados à triagem.</w:t>
      </w:r>
    </w:p>
    <w:p>
      <w:pPr>
        <w:keepNext/>
        <w:spacing w:before="120" w:after="40" w:lineRule="exact" w:line="217"/>
        <w:ind w:left="2381" w:firstLine="0"/>
        <w:jc w:val="left"/>
      </w:pPr>
      <w:r>
        <w:rPr>
          <w:rFonts w:ascii="Palatino Linotype" w:hAnsi="Palatino Linotype"/>
          <w:i/>
          <w:sz w:val="20"/>
        </w:rPr>
        <w:t>3.3. Critérios de Elegibilidade dos Estudos</w:t>
      </w:r>
    </w:p>
    <w:p>
      <w:pPr>
        <w:spacing w:before="0" w:after="0" w:lineRule="exact" w:line="217"/>
        <w:ind w:left="2381" w:firstLine="425"/>
        <w:jc w:val="both"/>
      </w:pPr>
      <w:r>
        <w:rPr>
          <w:rFonts w:ascii="Palatino Linotype" w:hAnsi="Palatino Linotype"/>
          <w:i w:val="0"/>
          <w:sz w:val="20"/>
        </w:rPr>
        <w:t>A triagem de títulos e resumos foi realizada em duas passagens independentes, assistidas por modelo de linguagem, e as divergências foram resolvidas por uma terceira avaliação (concordância de 0,955; κ = 0,927) [60,61]; esse coeficiente expressa a consistência do procedimento, e não a concordância entre avaliadores humanos [62]. Foram selecionados estudos originais em inglês, português ou espanhol, de qualquer delineamento, com atletas ou praticantes de handebol, que medissem, manipulassem ou descrevessem ao menos uma variável de um dos domínios conceituais do protocolo. Não houve restrição quanto à data de publicação, a fim de verificar a evolução da produção científica.</w:t>
      </w:r>
    </w:p>
    <w:p>
      <w:pPr>
        <w:spacing w:before="0" w:after="0" w:lineRule="exact" w:line="217"/>
        <w:ind w:left="2381" w:firstLine="425"/>
        <w:jc w:val="both"/>
      </w:pPr>
      <w:r>
        <w:rPr>
          <w:rFonts w:ascii="Palatino Linotype" w:hAnsi="Palatino Linotype"/>
          <w:i w:val="0"/>
          <w:sz w:val="20"/>
        </w:rPr>
        <w:t>Os critérios de elegibilidade desta revisão de mapeamento basearam-se na estratégia PECOS (participantes, exposição, comparação, desfecho e delineamento) [63]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3.4. Extração e Análise dos Dados</w:t>
      </w:r>
    </w:p>
    <w:p>
      <w:pPr>
        <w:spacing w:before="0" w:after="0" w:lineRule="exact" w:line="217"/>
        <w:ind w:left="2381" w:firstLine="425"/>
        <w:jc w:val="both"/>
      </w:pPr>
      <w:r>
        <w:rPr>
          <w:rFonts w:ascii="Palatino Linotype" w:hAnsi="Palatino Linotype"/>
          <w:i w:val="0"/>
          <w:sz w:val="20"/>
        </w:rPr>
        <w:t>Foram extraídos de todos os estudos, em planilha eletrônica, autor, ano, país, características da amostra (sexo, faixa etária, nível competitivo e número de participantes), contexto da medida (treinamento, competição ou ambos), delineamento, variáveis psicológicas, instrumentos, protocolos das intervenções e resultados. Os resultados provieram do texto completo em 146 estudos, do resumo em 49 e da planilha de extração em 4, e cada resultado foi vinculado a um trecho literal da fonte.</w:t>
      </w:r>
    </w:p>
    <w:p>
      <w:pPr>
        <w:spacing w:before="0" w:after="0" w:lineRule="exact" w:line="217"/>
        <w:ind w:left="2381" w:firstLine="425"/>
        <w:jc w:val="both"/>
      </w:pPr>
      <w:r>
        <w:rPr>
          <w:rFonts w:ascii="Palatino Linotype" w:hAnsi="Palatino Linotype"/>
          <w:i w:val="0"/>
          <w:sz w:val="20"/>
        </w:rPr>
        <w:t>As variáveis investigadas foram categorizadas em sete domínios conceituais: (1) motivação e autoeficácia (motivação, clima motivacional, orientação de metas, motivação autônoma/intrínseca, autoeficácia, necessidades psicológicas básicas, medo do fracasso, competência percebida, abandono e intenção de persistir, apoio à autonomia); (2) ansiedade e estresse (ansiedade, estresse, autoconfiança, pressão e choking, regulação emocional); (3) sono, bem-estar e recuperação (recuperação percebida, sono, bem-estar, satisfação e qualidade de vida); (4) habilidades mentais e enfrentamento (habilidades psicológicas, atenção e concentração, enfrentamento (coping), resiliência e robustez mental, mindfulness e flow, imagética, fadiga mental, tomada de decisão, funções executivas e cognição, autodiálogo); (5) humor e afeto (estados de humor, afeto e emoções, diversão e prazer); (6) processos de grupo e sociais (relação treinador-atleta, coesão, agressividade e fair play, liderança); (7) burnout e saúde mental (burnout, aspectos psicológicos da lesão, saúde mental e sintomas).</w:t>
      </w:r>
    </w:p>
    <w:p>
      <w:pPr>
        <w:spacing w:before="0" w:after="0" w:lineRule="exact" w:line="217"/>
        <w:ind w:left="2381" w:firstLine="425"/>
        <w:jc w:val="both"/>
      </w:pPr>
      <w:r>
        <w:rPr>
          <w:rFonts w:ascii="Palatino Linotype" w:hAnsi="Palatino Linotype"/>
          <w:i w:val="0"/>
          <w:sz w:val="20"/>
        </w:rPr>
        <w:t>Considerando os resultados relatados sobre as variáveis psicológicas, os estudos foram categorizados em cinco grupos: efeito ou associação relatado, quando o estudo concluiu que a exposição, a intervenção ou a variável associada produziu efeito ou associação estatística; resultado misto, quando houve efeito ou associação em parte dos desfechos; sem efeito ou associação, quando nenhum desfecho diferiu ou se associou; descritivo, quando não houve teste estatístico; e não determinável, quando a fonte acessível não permitiu classificar o achado.</w:t>
      </w:r>
    </w:p>
    <w:p>
      <w:pPr>
        <w:spacing w:before="0" w:after="0" w:lineRule="exact" w:line="217"/>
        <w:ind w:left="2381" w:firstLine="425"/>
        <w:jc w:val="both"/>
      </w:pPr>
      <w:r>
        <w:rPr>
          <w:rFonts w:ascii="Palatino Linotype" w:hAnsi="Palatino Linotype"/>
          <w:i w:val="0"/>
          <w:sz w:val="20"/>
        </w:rPr>
        <w:t>A síntese foi descritiva. A coocorrência das variáveis foi examinada por análise de redes, com detecção de comunidades pelo algoritmo de Louvain [64] e mapa temático de Callon [65]. O tamanho amostral foi comparado entre categorias pelo teste de Kruskal-Wallis, sua associação com o ano pela correlação de Spearman e as amostras das intervenções com e sem efeito pelo teste de Mann-Whitney (α = 0,05, finalidade exploratória). Para a Tabela 4, a participação anual de cada domínio entre 2010 e 2026 foi suavizada por soma móvel centrada de cinco anos; da série suavizada, estimaram-se os limites nos extremos, a derivada primeira (pontos percentuais por ano) e o ponto de inflexão, definido como o ano de maior variação absoluta. A razão sinal/ruído correspondeu ao desvio-padrão da série suavizada dividido pelo dos resíduos, e a tendência foi triangulada pela correlação de Spearman, pela derivada média de 2022 a 2026 e pelo teste exato de Fisher (2010 a 2019 contra 2020 a 2026). Calcularam-se também a proporção de estudos em que cada domínio foi investigado isoladamente e o lift da coocorrência, razão entre a observada e a esperada sob independência. Os intervalos de confiança de 95% das séries suavizadas foram calculados pelo método de Wilson para proporções [66,67] e pelo método exato de Poisson para contagens [68].</w:t>
      </w:r>
    </w:p>
    <w:p>
      <w:pPr>
        <w:spacing w:before="0" w:after="0" w:lineRule="exact" w:line="217"/>
        <w:ind w:left="2381" w:firstLine="425"/>
        <w:jc w:val="both"/>
      </w:pPr>
      <w:r>
        <w:rPr>
          <w:rFonts w:ascii="Palatino Linotype" w:hAnsi="Palatino Linotype"/>
          <w:i w:val="0"/>
          <w:sz w:val="20"/>
        </w:rPr>
        <w:t>A escolha desses procedimentos apoia-se em fundamentos consolidados da análise de séries temporais e de sinais. Séries anuais de publicação são curtas e instáveis, e a suavização por médias móveis ou por regressão local reduz a variação aleatória e preserva a tendência [69,70]. A derivada estima a taxa de variação, e a suavização prévia é condição para que a diferenciação não amplifique o ruído [71]; o ponto de maior variação delimita uma mudança de regime, objeto dos métodos de detecção de pontos de mudança [72]. A razão sinal/ruído, conceito originário da teoria da comunicação [73], quantifica a parcela da variação que corresponde à tendência, e não à flutuação aleatória. A taxa de crescimento e o tempo de duplicação constituem indicadores usuais da dinâmica da produção científica [74], e a triangulação por métodos com pressupostos distintos aumenta a robustez da inferência [75].</w:t>
      </w:r>
    </w:p>
    <w:p>
      <w:pPr>
        <w:keepNext/>
        <w:spacing w:before="120" w:after="40" w:lineRule="exact" w:line="217"/>
        <w:ind w:left="2381" w:firstLine="0"/>
        <w:jc w:val="left"/>
      </w:pPr>
      <w:r>
        <w:rPr>
          <w:rFonts w:ascii="Palatino Linotype" w:hAnsi="Palatino Linotype"/>
          <w:i/>
          <w:sz w:val="20"/>
        </w:rPr>
        <w:t>3.5. Avaliação dos Estudos de Intervenção</w:t>
      </w:r>
    </w:p>
    <w:p>
      <w:pPr>
        <w:spacing w:before="0" w:after="0" w:lineRule="exact" w:line="217"/>
        <w:ind w:left="2381" w:firstLine="425"/>
        <w:jc w:val="both"/>
      </w:pPr>
      <w:r>
        <w:rPr>
          <w:rFonts w:ascii="Palatino Linotype" w:hAnsi="Palatino Linotype"/>
          <w:i w:val="0"/>
          <w:sz w:val="20"/>
        </w:rPr>
        <w:t>Por se tratar de revisão de mapeamento, não se aplicou instrumento formal de risco de viés aos 199 estudos [51]. Os estudos de intervenção foram caracterizados por seis indicadores de relato e de delineamento: randomização dos participantes; presença de grupo ou condição de comparação; amostra de pelo menos 30 participantes; medida de desfecho psicológico, e não apenas de desempenho técnico; duração da intervenção informada; e tamanho do efeito relatado. A categoria de resposta “não informado” indica que o estudo não relata informação suficiente para responder “sim” ou “não”; a categoria “sim” indica que o estudo relata informação adequada para o indicador; e a categoria “não” indica que o estudo não atende ao indicador. Os indicadores descrevem o relato e o delineamento e não substituem a avaliação formal do risco de viés.</w:t>
      </w:r>
    </w:p>
    <w:p>
      <w:pPr>
        <w:keepNext/>
        <w:spacing w:before="200" w:after="80" w:lineRule="exact" w:line="300"/>
        <w:ind w:left="2381" w:firstLine="0"/>
        <w:jc w:val="left"/>
      </w:pPr>
      <w:r>
        <w:rPr>
          <w:rFonts w:ascii="Palatino Linotype" w:hAnsi="Palatino Linotype"/>
          <w:b/>
          <w:sz w:val="24"/>
        </w:rPr>
        <w:t>4. Resultados</w:t>
      </w:r>
    </w:p>
    <w:p>
      <w:pPr>
        <w:keepNext/>
        <w:spacing w:before="120" w:after="40" w:lineRule="exact" w:line="217"/>
        <w:ind w:left="2381" w:firstLine="0"/>
        <w:jc w:val="left"/>
      </w:pPr>
      <w:r>
        <w:rPr>
          <w:rFonts w:ascii="Palatino Linotype" w:hAnsi="Palatino Linotype"/>
          <w:i/>
          <w:sz w:val="20"/>
        </w:rPr>
        <w:t>4.1. Resultados da Busca na Literatura</w:t>
      </w:r>
    </w:p>
    <w:p>
      <w:pPr>
        <w:spacing w:before="0" w:after="0" w:lineRule="exact" w:line="217"/>
        <w:ind w:left="2381" w:firstLine="425"/>
        <w:jc w:val="both"/>
      </w:pPr>
      <w:r>
        <w:rPr>
          <w:rFonts w:ascii="Palatino Linotype" w:hAnsi="Palatino Linotype"/>
          <w:i w:val="0"/>
          <w:sz w:val="20"/>
        </w:rPr>
        <w:t>A busca na literatura identificou 4.144 registros relevantes. Após a remoção de 1.562 duplicatas e de 1.613 registros fora do escopo, 969 seguiram para a triagem, que excluiu 577; dos 392 relatórios remanescentes, 143 permaneceram sem confirmação de elegibilidade. Dos 249 artigos completos avaliados quanto à elegibilidade,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2020 da busca na literatura e do processo de seleção dos estudos. Buscas realizadas entre maio e setembro de 2026.</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e quais são as características dos estudos e das populações investigadas?</w:t>
      </w:r>
    </w:p>
    <w:p>
      <w:pPr>
        <w:spacing w:before="0" w:after="0" w:lineRule="exact" w:line="217"/>
        <w:ind w:left="2381" w:firstLine="425"/>
        <w:jc w:val="both"/>
      </w:pPr>
      <w:r>
        <w:rPr>
          <w:rFonts w:ascii="Palatino Linotype" w:hAnsi="Palatino Linotype"/>
          <w:i w:val="0"/>
          <w:sz w:val="20"/>
        </w:rPr>
        <w:t>O estudo mais antigo data de 1994 [76]. A produção manteve-se esporádica até 2009, com 12 estudos, acelerou a partir de 2017 e atingiu o pico em 2025, com 25 estudos; 115 estudos (57,8%) datam de 2020 em diante (Figura 2A). Quanto ao sexo, 49 estudos (24,6%) investigaram exclusivamente mulheres, 39 (19,6%) exclusivamente homens e 54 (27,1%) amostras mistas, e 57 (28,6%) omitiram essa informação (Figura 2B). Predominaram as faixas adulta (90) e juvenil (89) e os níveis profissional ou de elite (87; 43,7%) e de formação (50; 25,1%) (Figura 2C, D).</w:t>
      </w:r>
    </w:p>
    <w:p>
      <w:pPr>
        <w:spacing w:before="0" w:after="0" w:lineRule="exact" w:line="217"/>
        <w:ind w:left="2381" w:firstLine="425"/>
        <w:jc w:val="both"/>
      </w:pPr>
      <w:r>
        <w:rPr>
          <w:rFonts w:ascii="Palatino Linotype" w:hAnsi="Palatino Linotype"/>
          <w:i w:val="0"/>
          <w:sz w:val="20"/>
        </w:rPr>
        <w:t>O tamanho da amostra, relatado em 186 estudos, variou de 6 a 745 participantes (mediana de 63,5; média de 126,5 ± 148,5; assimetria de 1,72) (Figura 2E). Diferiu entre delineamentos (H = 23,2; p &lt; 0,001), com as maiores amostras nos estudos transversais (mediana de 112) e as menores nos experimentais (26,5), entre as categorias de sexo (H = 23,5; p &lt; 0,001) e entre níveis competitivos (H = 13,3; p = 0,039), mas não entre contextos (p = 0,064) nem entre períodos (p = 0,128). O tamanho da amostra correlacionou-se negativamente com o ano (ρ = -0,17; p = 0,022), e a proporção de estudos experimentais não variou entre os períodos (χ² = 4,21; p = 0,378).</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Características dos estudos e das populações (QP1).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investigadas, como se distribuem entre os domínios conceituais e quais temas emergem da combinação dessas variáveis?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lideraram, seguidos de sono, bem-estar e recuperação (52), habilidades mentais e enfrentamento (45), humor e afeto (36), processos de grupo e sociais (17) e burnout e saúde mental (14) (Figura 4A). O mapa temático organizou-se em cinco temas (modularidade de 0,445; Figura 3): carga, recuperação e bem-estar (109 estudos), tema básico e transversal; motivação e clima motivacional (67) e ansiedade, autoconfiança e equipe (47), temas motores; habilidades psicológicas e resiliência (29), tema em declínio; e competência percebida e diversão (11), tema de nicho. Apenas 48 estudos (24,1%) nomearam o instrumento no resumo, com predomínio do CSAI-2 (14), do POMS (10) e do índice de Hooper (7) (Figura 4B).</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3" name="Picture 3"/>
            <wp:cNvGraphicFramePr>
              <a:graphicFrameLocks noChangeAspect="1"/>
            </wp:cNvGraphicFramePr>
            <a:graphic>
              <a:graphicData uri="http://schemas.openxmlformats.org/drawingml/2006/picture">
                <pic:pic>
                  <pic:nvPicPr>
                    <pic:cNvPr id="0" name="Figura_MapaTematico.png"/>
                    <pic:cNvPicPr/>
                  </pic:nvPicPr>
                  <pic:blipFill>
                    <a:blip r:embed="rId12"/>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Mapa temático das variáveis psicológicas investigadas no handebol (QP2). Pentágonos: os cinco temas da rede de coocorrência, com o número de estudos e o quadrante do mapa de Callon; círculos: variáveis de cada tema, com tamanho proporcional ao número de estudos; setas: tendência temporal (limiar de 2 p.p.); faixas: certeza da evidência; quadros vermelhos: principais lacunas.</w:t>
      </w:r>
    </w:p>
    <w:p>
      <w:pPr>
        <w:sectPr>
          <w:pgSz w:w="16838" w:h="11906" w:orient="landscape"/>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4" name="Picture 4"/>
            <wp:cNvGraphicFramePr>
              <a:graphicFrameLocks noChangeAspect="1"/>
            </wp:cNvGraphicFramePr>
            <a:graphic>
              <a:graphicData uri="http://schemas.openxmlformats.org/drawingml/2006/picture">
                <pic:pic>
                  <pic:nvPicPr>
                    <pic:cNvPr id="0" name="v5_qp2.png"/>
                    <pic:cNvPicPr/>
                  </pic:nvPicPr>
                  <pic:blipFill>
                    <a:blip r:embed="rId13"/>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Quanto à relação entre os domínios e as características dos estudos, ansiedade e estresse e processos de grupo concentraram-se na competição, ao passo que habilidades mentais, sono, bem-estar e recuperação e humor e afeto foram medidos com mais frequência no treinamento ou em ambos os contextos. O nível profissional ou de elite predominou em todos os domínios, e os estudos experimentais não ultrapassaram 10 em nenhum domínio. A Tabela 3 apresenta o número de estudos segundo o domínio conceitual, o contexto da medida, o nível competitivo e o delineamento.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que contextos (treinamento e competição), países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32,7% dos estudos, em ambos os contextos em 33,7% e no treinamento isolado em 20,6%; 26 estudos não relataram o contexto. Na competição, predominaram ansiedade e estresse (33 estudos) e motivação e autoeficácia (29); no treinamento, motivação e autoeficácia (19), habilidades mentais (14) e sono, bem-estar e recuperação (12). A Espanha liderou a produção, com 49 estudos, seguida do Brasil (21), da Alemanha (15), da França (12) e de Portugal (10) (Figura 5); 51 países somaram 221 menções, e 23 estudos (11,6%) envolveram mais de um país.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6).</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5" name="Picture 5"/>
            <wp:cNvGraphicFramePr>
              <a:graphicFrameLocks noChangeAspect="1"/>
            </wp:cNvGraphicFramePr>
            <a:graphic>
              <a:graphicData uri="http://schemas.openxmlformats.org/drawingml/2006/picture">
                <pic:pic>
                  <pic:nvPicPr>
                    <pic:cNvPr id="0" name="Figura_Mapa_v5.png"/>
                    <pic:cNvPicPr/>
                  </pic:nvPicPr>
                  <pic:blipFill>
                    <a:blip r:embed="rId14"/>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Distribuição geográfica dos 199 estudos por país de afiliação dos autores (QP3).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A Tabela 4 sintetiza a dinâmica relacional e temporal das variáveis. Metade dos estudos (50,8%) investigou um único domínio, com média de 1,59 domínios por estudo. Sono, bem-estar e recuperação foi o domínio mais estudado isoladamente (52% de seus estudos), ao passo que processos de grupo e burnout apareceram quase sempre com outros domínios, sobretudo com a motivação (lift de 1,46 e 1,24). O par mais frequente reuniu ansiedade e habilidades mentais (20 estudos), núcleo dominante desde 2016. A triangulação convergiu nos três métodos para o declínio da motivação, com inflexão em 2014, e para a ascensão do sono, do bem-estar e da recuperação, com inflexão em 2015 e a maior razão sinal/ruído (1,79); ansiedade, habilidades mentais e humor mantiveram-se estáveis, com séries dominadas pelo ruído. A Figura 6 apresenta essas trajetórias com intervalo de confiança de 95%: a produção anual acelerou a partir da inflexão de 2016, e as faixas de confiança largas dos domínios menos frequentes confirmam que suas oscilações anuais não se distinguem do ruído.</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6" name="Picture 6"/>
            <wp:cNvGraphicFramePr>
              <a:graphicFrameLocks noChangeAspect="1"/>
            </wp:cNvGraphicFramePr>
            <a:graphic>
              <a:graphicData uri="http://schemas.openxmlformats.org/drawingml/2006/picture">
                <pic:pic>
                  <pic:nvPicPr>
                    <pic:cNvPr id="0" name="Figura_IC_tendencias.png"/>
                    <pic:cNvPicPr/>
                  </pic:nvPicPr>
                  <pic:blipFill>
                    <a:blip r:embed="rId15"/>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intervalo de confiança de Wilson, participação anual bruta (pontos), ponto de inflexão (losango), limites da série, razão sinal/ruído (S/R) e direção da triangulação; trecho pontilhado: 2026, ano em curso.</w:t>
      </w: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Síntese das variáveis psicológicas: frequência, estudo isolado ou em conjunto, relações, trajetória temporal, sinal e ruído, triangulação e núcleos de estudo.</w:t>
      </w:r>
    </w:p>
    <w:tbl>
      <w:tblPr>
        <w:jc w:val="center"/>
        <w:tblLayout w:type="fixed"/>
        <w:tblLook w:firstColumn="1" w:firstRow="1" w:lastColumn="0" w:lastRow="0" w:noHBand="0" w:noVBand="1" w:val="04A0"/>
        <w:tblW w:w="9242" w:type="dxa"/>
        <w:tblLayout w:type="fixed"/>
      </w:tblPr>
      <w:tblGrid>
        <w:gridCol w:w="1474"/>
        <w:gridCol w:w="1360"/>
        <w:gridCol w:w="1644"/>
        <w:gridCol w:w="1247"/>
        <w:gridCol w:w="1474"/>
        <w:gridCol w:w="907"/>
        <w:gridCol w:w="1134"/>
      </w:tblGrid>
      <w:tr>
        <w:trPr>
          <w:tblHeader w:val="true"/>
        </w:trPr>
        <w:tc>
          <w:tcPr>
            <w:tcW w:w="1474"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Domínio ou período</w:t>
            </w:r>
          </w:p>
        </w:tc>
        <w:tc>
          <w:tcPr>
            <w:tcW w:w="1360"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Frequência e forma de estudo</w:t>
            </w:r>
          </w:p>
        </w:tc>
        <w:tc>
          <w:tcPr>
            <w:tcW w:w="1644"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Relações principais (estudos; lift)</w:t>
            </w:r>
          </w:p>
        </w:tc>
        <w:tc>
          <w:tcPr>
            <w:tcW w:w="124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Limites da série</w:t>
            </w:r>
          </w:p>
        </w:tc>
        <w:tc>
          <w:tcPr>
            <w:tcW w:w="1474"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Derivada recente e inflexão</w:t>
            </w:r>
          </w:p>
        </w:tc>
        <w:tc>
          <w:tcPr>
            <w:tcW w:w="90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Sinal/ruído (ruído)</w:t>
            </w:r>
          </w:p>
        </w:tc>
        <w:tc>
          <w:tcPr>
            <w:tcW w:w="1134"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Triangulação</w:t>
            </w:r>
          </w:p>
        </w:tc>
      </w:tr>
      <w:tr>
        <w:tc>
          <w:tcPr>
            <w:tcW w:w="1134" w:type="dxa"/>
            <w:gridSpan w:val="7"/>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Pr>
          <w:p>
            <w:pPr>
              <w:spacing w:lineRule="exact" w:line="190" w:before="20" w:after="20"/>
              <w:jc w:val="center"/>
            </w:pPr>
            <w:r>
              <w:rPr>
                <w:rFonts w:ascii="Palatino Linotype" w:hAnsi="Palatino Linotype"/>
                <w:b/>
                <w:sz w:val="16"/>
              </w:rPr>
              <w:t>Domínios conceituais (participação anual suavizada, 2010 a 2026)</w:t>
            </w:r>
          </w:p>
        </w:tc>
      </w:tr>
      <w:tr>
        <w:tc>
          <w:tcPr>
            <w:tcW w:w="1474" w:type="dxa"/>
            <w:tcBorders>
              <w:top w:val="nil"/>
              <w:bottom w:val="single" w:sz="4" w:color="000000"/>
              <w:left w:val="nil"/>
              <w:right w:val="nil"/>
            </w:tcBorders>
          </w:tcPr>
          <w:p>
            <w:pPr>
              <w:spacing w:before="20" w:after="20" w:lineRule="exact" w:line="190"/>
              <w:jc w:val="left"/>
            </w:pPr>
            <w:r>
              <w:rPr>
                <w:rFonts w:ascii="Palatino Linotype" w:hAnsi="Palatino Linotype"/>
                <w:i w:val="0"/>
                <w:sz w:val="16"/>
              </w:rPr>
              <w:t>Motivação e autoeficácia</w:t>
            </w:r>
          </w:p>
        </w:tc>
        <w:tc>
          <w:tcPr>
            <w:tcW w:w="1360" w:type="dxa"/>
            <w:tcBorders>
              <w:top w:val="nil"/>
              <w:bottom w:val="single" w:sz="4" w:color="000000"/>
              <w:left w:val="nil"/>
              <w:right w:val="nil"/>
            </w:tcBorders>
          </w:tcPr>
          <w:p>
            <w:pPr>
              <w:spacing w:before="20" w:after="20" w:lineRule="exact" w:line="190"/>
              <w:jc w:val="left"/>
            </w:pPr>
            <w:r>
              <w:rPr>
                <w:rFonts w:ascii="Palatino Linotype" w:hAnsi="Palatino Linotype"/>
                <w:i w:val="0"/>
                <w:sz w:val="16"/>
              </w:rPr>
              <w:t>80 (40,2%); isolado em 40%</w:t>
            </w:r>
          </w:p>
        </w:tc>
        <w:tc>
          <w:tcPr>
            <w:tcW w:w="1644" w:type="dxa"/>
            <w:tcBorders>
              <w:top w:val="nil"/>
              <w:bottom w:val="single" w:sz="4" w:color="000000"/>
              <w:left w:val="nil"/>
              <w:right w:val="nil"/>
            </w:tcBorders>
          </w:tcPr>
          <w:p>
            <w:pPr>
              <w:spacing w:before="20" w:after="20" w:lineRule="exact" w:line="190"/>
              <w:jc w:val="left"/>
            </w:pPr>
            <w:r>
              <w:rPr>
                <w:rFonts w:ascii="Palatino Linotype" w:hAnsi="Palatino Linotype"/>
                <w:i w:val="0"/>
                <w:sz w:val="16"/>
              </w:rPr>
              <w:t>habilidades mentais (15; 0,83); ansiedade (14; 0,48)</w:t>
            </w:r>
          </w:p>
        </w:tc>
        <w:tc>
          <w:tcPr>
            <w:tcW w:w="1247" w:type="dxa"/>
            <w:tcBorders>
              <w:top w:val="nil"/>
              <w:bottom w:val="single" w:sz="4" w:color="000000"/>
              <w:left w:val="nil"/>
              <w:right w:val="nil"/>
            </w:tcBorders>
          </w:tcPr>
          <w:p>
            <w:pPr>
              <w:spacing w:before="20" w:after="20" w:lineRule="exact" w:line="190"/>
              <w:jc w:val="left"/>
            </w:pPr>
            <w:r>
              <w:rPr>
                <w:rFonts w:ascii="Palatino Linotype" w:hAnsi="Palatino Linotype"/>
                <w:i w:val="0"/>
                <w:sz w:val="16"/>
              </w:rPr>
              <w:t>71,4% a 17,2%; pico em 2010</w:t>
            </w:r>
          </w:p>
        </w:tc>
        <w:tc>
          <w:tcPr>
            <w:tcW w:w="1474" w:type="dxa"/>
            <w:tcBorders>
              <w:top w:val="nil"/>
              <w:bottom w:val="single" w:sz="4" w:color="000000"/>
              <w:left w:val="nil"/>
              <w:right w:val="nil"/>
            </w:tcBorders>
          </w:tcPr>
          <w:p>
            <w:pPr>
              <w:spacing w:before="20" w:after="20" w:lineRule="exact" w:line="190"/>
              <w:jc w:val="left"/>
            </w:pPr>
            <w:r>
              <w:rPr>
                <w:rFonts w:ascii="Palatino Linotype" w:hAnsi="Palatino Linotype"/>
                <w:i w:val="0"/>
                <w:sz w:val="16"/>
              </w:rPr>
              <w:t>−5,0 p.p./ano; inflexão em 2014 (−7,5)</w:t>
            </w:r>
          </w:p>
        </w:tc>
        <w:tc>
          <w:tcPr>
            <w:tcW w:w="90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1,22 (12,7)</w:t>
            </w:r>
          </w:p>
        </w:tc>
        <w:tc>
          <w:tcPr>
            <w:tcW w:w="1134"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declínio (3/3)</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Ansiedade e estresse</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72 (36,2%); isolado em 28%</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habilidades mentais (20; 1,23); motivação (14; 0,48)</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35,7% a 36,2%; pico em 2015</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+0,2 p.p./ano; inflexão em 2014 (+5,2)</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0,19 (14,9)</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estabilidade (3/3)</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Sono, bem-estar e recuperação</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52 (26,1%); isolado em 52%</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ansiedade (11; 0,58); humor (5; 0,53)</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7,1% a 37,9%; pico em 2026</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+1,8 p.p./ano; inflexão em 2015 (+6,6)</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1,79 (6,8)</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ascensão (3/3)</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Habilidades mentais e enfrentamento</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45 (22,6%); isolado em 24%</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ansiedade (20; 1,23); motivação (15; 0,83)</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7,1% a 24,1%; pico em 2017</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+0,1 p.p./ano; inflexão em 2012 (+4,0)</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0,85 (7,8)</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estabilidade (3/3)</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Humor e afeto</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36 (18,1%); isolado em 25%</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ansiedade (12; 0,92); motivação (10; 0,69)</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14,3% a 17,2%; pico em 2015</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+0,3 p.p./ano; inflexão em 2012 (+4,0)</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0,27 (15,4)</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estabilidade (3/3)</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Processos de grupo e sociais</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17 (8,5%); isolado em 0%</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motivação (10; 1,46); ansiedade (6; 0,98)</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7,1% a 5,2%; pico em 2014</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−0,7 p.p./ano; inflexão em 2013 (+6,3)</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0,29 (12,2)</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estabilidade (2/3)</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Burnout e saúde mental</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14 (7,0%); isolado em 14%</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motivação (7; 1,24); ansiedade (4; 0,79)</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14,3% a 8,6%; pico em 2011</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+0,8 p.p./ano; inflexão em 2012 (−3,6)</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0,49 (7,4)</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estabilidade (2/3)</w:t>
            </w:r>
          </w:p>
        </w:tc>
      </w:tr>
      <w:tr>
        <w:tc>
          <w:tcPr>
            <w:tcW w:w="1134" w:type="dxa"/>
            <w:gridSpan w:val="7"/>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Borders>
              <w:top w:val="single" w:sz="4" w:color="000000"/>
              <w:bottom w:val="single" w:sz="4" w:color="000000"/>
              <w:left w:val="nil"/>
              <w:right w:val="nil"/>
            </w:tcBorders>
          </w:tcPr>
          <w:p>
            <w:pPr>
              <w:spacing w:lineRule="exact" w:line="190" w:before="20" w:after="20"/>
              <w:jc w:val="center"/>
            </w:pPr>
            <w:r>
              <w:rPr>
                <w:rFonts w:ascii="Palatino Linotype" w:hAnsi="Palatino Linotype"/>
                <w:b/>
                <w:sz w:val="16"/>
              </w:rPr>
              <w:t>Núcleos de estudo por período</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1994 a 2015 (39 estudos)</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18 (46%) com dois ou mais domínios</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motivação e ansiedade (5); ansiedade e habilidades mentais (4)</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líderes: motivação (26); ansiedade (13)</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em ascensão: habilidades mentais, humor, sono e recuperação</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em declínio: motivação, burnout</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núcleo motivação e ansiedade</w:t>
            </w:r>
          </w:p>
        </w:tc>
      </w:tr>
      <w:tr>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2016 a 2020 (55 estudos)</w:t>
            </w:r>
          </w:p>
        </w:tc>
        <w:tc>
          <w:tcPr>
            <w:tcW w:w="1360"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35 (64%) com dois ou mais domínios</w:t>
            </w:r>
          </w:p>
        </w:tc>
        <w:tc>
          <w:tcPr>
            <w:tcW w:w="164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ansiedade e habilidades mentais (8); motivação e habilidades mentais (5)</w:t>
            </w:r>
          </w:p>
        </w:tc>
        <w:tc>
          <w:tcPr>
            <w:tcW w:w="1247"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líderes: motivação (23); ansiedade (22)</w:t>
            </w:r>
          </w:p>
        </w:tc>
        <w:tc>
          <w:tcPr>
            <w:tcW w:w="1474" w:type="dxa"/>
            <w:tcBorders>
              <w:top w:val="single" w:sz="4" w:color="000000"/>
              <w:bottom w:val="single" w:sz="4" w:color="000000"/>
              <w:left w:val="nil"/>
              <w:right w:val="nil"/>
            </w:tcBorders>
          </w:tcPr>
          <w:p>
            <w:pPr>
              <w:spacing w:before="20" w:after="20" w:lineRule="exact" w:line="190"/>
              <w:jc w:val="left"/>
            </w:pPr>
            <w:r>
              <w:rPr>
                <w:rFonts w:ascii="Palatino Linotype" w:hAnsi="Palatino Linotype"/>
                <w:i w:val="0"/>
                <w:sz w:val="16"/>
              </w:rPr>
              <w:t>em ascensão: sono e recuperação</w:t>
            </w:r>
          </w:p>
        </w:tc>
        <w:tc>
          <w:tcPr>
            <w:tcW w:w="90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em declínio: humor</w:t>
            </w:r>
          </w:p>
        </w:tc>
        <w:tc>
          <w:tcPr>
            <w:tcW w:w="113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núcleo motivação e ansiedade</w:t>
            </w:r>
          </w:p>
        </w:tc>
      </w:tr>
      <w:tr>
        <w:tc>
          <w:tcPr>
            <w:tcW w:w="1474" w:type="dxa"/>
            <w:tcBorders>
              <w:top w:val="single" w:sz="4" w:color="000000"/>
              <w:bottom w:val="single" w:sz="8" w:color="000000"/>
              <w:left w:val="nil"/>
              <w:right w:val="nil"/>
            </w:tcBorders>
          </w:tcPr>
          <w:p>
            <w:pPr>
              <w:spacing w:before="20" w:after="20" w:lineRule="exact" w:line="190"/>
              <w:jc w:val="left"/>
            </w:pPr>
            <w:r>
              <w:rPr>
                <w:rFonts w:ascii="Palatino Linotype" w:hAnsi="Palatino Linotype"/>
                <w:i w:val="0"/>
                <w:sz w:val="16"/>
              </w:rPr>
              <w:t>2021 a 2026 (105 estudos)</w:t>
            </w:r>
          </w:p>
        </w:tc>
        <w:tc>
          <w:tcPr>
            <w:tcW w:w="1360" w:type="dxa"/>
            <w:tcBorders>
              <w:top w:val="single" w:sz="4" w:color="000000"/>
              <w:bottom w:val="single" w:sz="8" w:color="000000"/>
              <w:left w:val="nil"/>
              <w:right w:val="nil"/>
            </w:tcBorders>
          </w:tcPr>
          <w:p>
            <w:pPr>
              <w:spacing w:before="20" w:after="20" w:lineRule="exact" w:line="190"/>
              <w:jc w:val="left"/>
            </w:pPr>
            <w:r>
              <w:rPr>
                <w:rFonts w:ascii="Palatino Linotype" w:hAnsi="Palatino Linotype"/>
                <w:i w:val="0"/>
                <w:sz w:val="16"/>
              </w:rPr>
              <w:t>45 (43%) com dois ou mais domínios</w:t>
            </w:r>
          </w:p>
        </w:tc>
        <w:tc>
          <w:tcPr>
            <w:tcW w:w="1644" w:type="dxa"/>
            <w:tcBorders>
              <w:top w:val="single" w:sz="4" w:color="000000"/>
              <w:bottom w:val="single" w:sz="8" w:color="000000"/>
              <w:left w:val="nil"/>
              <w:right w:val="nil"/>
            </w:tcBorders>
          </w:tcPr>
          <w:p>
            <w:pPr>
              <w:spacing w:before="20" w:after="20" w:lineRule="exact" w:line="190"/>
              <w:jc w:val="left"/>
            </w:pPr>
            <w:r>
              <w:rPr>
                <w:rFonts w:ascii="Palatino Linotype" w:hAnsi="Palatino Linotype"/>
                <w:i w:val="0"/>
                <w:sz w:val="16"/>
              </w:rPr>
              <w:t>ansiedade e habilidades mentais (8); motivação e habilidades mentais (7)</w:t>
            </w:r>
          </w:p>
        </w:tc>
        <w:tc>
          <w:tcPr>
            <w:tcW w:w="1247" w:type="dxa"/>
            <w:tcBorders>
              <w:top w:val="single" w:sz="4" w:color="000000"/>
              <w:bottom w:val="single" w:sz="8" w:color="000000"/>
              <w:left w:val="nil"/>
              <w:right w:val="nil"/>
            </w:tcBorders>
          </w:tcPr>
          <w:p>
            <w:pPr>
              <w:spacing w:before="20" w:after="20" w:lineRule="exact" w:line="190"/>
              <w:jc w:val="left"/>
            </w:pPr>
            <w:r>
              <w:rPr>
                <w:rFonts w:ascii="Palatino Linotype" w:hAnsi="Palatino Linotype"/>
                <w:i w:val="0"/>
                <w:sz w:val="16"/>
              </w:rPr>
              <w:t>líderes: ansiedade (37); sono e recuperação (35)</w:t>
            </w:r>
          </w:p>
        </w:tc>
        <w:tc>
          <w:tcPr>
            <w:tcW w:w="1474" w:type="dxa"/>
            <w:tcBorders>
              <w:top w:val="single" w:sz="4" w:color="000000"/>
              <w:bottom w:val="single" w:sz="8" w:color="000000"/>
              <w:left w:val="nil"/>
              <w:right w:val="nil"/>
            </w:tcBorders>
          </w:tcPr>
          <w:p>
            <w:pPr>
              <w:spacing w:before="20" w:after="20" w:lineRule="exact" w:line="190"/>
              <w:jc w:val="left"/>
            </w:pPr>
            <w:r>
              <w:rPr>
                <w:rFonts w:ascii="Palatino Linotype" w:hAnsi="Palatino Linotype"/>
                <w:i w:val="0"/>
                <w:sz w:val="16"/>
              </w:rPr>
              <w:t>em ascensão: sono e recuperação</w:t>
            </w:r>
          </w:p>
        </w:tc>
        <w:tc>
          <w:tcPr>
            <w:tcW w:w="90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em declínio: motivação</w:t>
            </w:r>
          </w:p>
        </w:tc>
        <w:tc>
          <w:tcPr>
            <w:tcW w:w="1134"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núcleo ansiedade e sono e recuperação</w:t>
            </w:r>
          </w:p>
        </w:tc>
      </w:tr>
    </w:tbl>
    <w:p>
      <w:pPr>
        <w:spacing w:after="40"/>
      </w:pPr>
    </w:p>
    <w:p>
      <w:pPr>
        <w:spacing w:before="0" w:after="160" w:lineRule="exact" w:line="200"/>
        <w:ind w:left="2381" w:firstLine="0"/>
        <w:jc w:val="both"/>
      </w:pPr>
      <w:r>
        <w:rPr>
          <w:rFonts w:ascii="Palatino Linotype" w:hAnsi="Palatino Linotype"/>
          <w:i w:val="0"/>
          <w:sz w:val="16"/>
        </w:rPr>
        <w:t>Lift: coocorrência observada dividida pela esperada sob independência; derivada recente: média de 2022 a 2026, em pontos percentuais (p.p.) por ano, com a derivada no ponto de inflexão entre parênteses; triangulação: direção modal entre Spearman, derivada recente e teste exato de Fisher.</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delineamentos foram empregados, e quais são os métodos e os protocolos das intervenções testadas?</w:t>
      </w:r>
    </w:p>
    <w:p>
      <w:pPr>
        <w:spacing w:before="0" w:after="0" w:lineRule="exact" w:line="217"/>
        <w:ind w:left="2381" w:firstLine="425"/>
        <w:jc w:val="both"/>
      </w:pPr>
      <w:r>
        <w:rPr>
          <w:rFonts w:ascii="Palatino Linotype" w:hAnsi="Palatino Linotype"/>
          <w:i w:val="0"/>
          <w:sz w:val="20"/>
        </w:rPr>
        <w:t>Predominaram delineamentos observacionais: 163 estudos (81,9%) não manipularam variáveis, 28 (14,1%) adotaram delineamento experimental (15 quase-experimentais, 10 ensaios clínicos randomizados e 3 cruzados) e 24 (12,1%) testaram uma intervenção (Figura 7A).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7" name="Picture 7"/>
            <wp:cNvGraphicFramePr>
              <a:graphicFrameLocks noChangeAspect="1"/>
            </wp:cNvGraphicFramePr>
            <a:graphic>
              <a:graphicData uri="http://schemas.openxmlformats.org/drawingml/2006/picture">
                <pic:pic>
                  <pic:nvPicPr>
                    <pic:cNvPr id="0" name="Figura6_QP4_QP5.png"/>
                    <pic:cNvPicPr/>
                  </pic:nvPicPr>
                  <pic:blipFill>
                    <a:blip r:embed="rId16"/>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lacuna de translação entre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aplicaram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As tabelas a seguir apresentam as características da amostra (sexo e faixa etária), o contexto, o protocolo, o desfecho psicológico e os achados dos estudos com efeito relatado (Tabela 5) e daqueles com resultado misto, sem efeito ou não determinado (Tabela 6).</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Autores, Ano</w:t>
            </w:r>
          </w:p>
        </w:tc>
        <w:tc>
          <w:tcPr>
            <w:tcW w:w="107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País</w:t>
            </w:r>
          </w:p>
        </w:tc>
        <w:tc>
          <w:tcPr>
            <w:tcW w:w="793"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Direção</w:t>
            </w:r>
          </w:p>
        </w:tc>
        <w:tc>
          <w:tcPr>
            <w:tcW w:w="1304"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Nível e Faixa Etária</w:t>
            </w:r>
          </w:p>
        </w:tc>
        <w:tc>
          <w:tcPr>
            <w:tcW w:w="963"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n e Sexo</w:t>
            </w:r>
          </w:p>
        </w:tc>
        <w:tc>
          <w:tcPr>
            <w:tcW w:w="1360"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Desfecho Psicológico</w:t>
            </w:r>
          </w:p>
        </w:tc>
        <w:tc>
          <w:tcPr>
            <w:tcW w:w="2041"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Intervenção e Duração</w:t>
            </w:r>
          </w:p>
        </w:tc>
        <w:tc>
          <w:tcPr>
            <w:tcW w:w="141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Delineamento e Comparação</w:t>
            </w:r>
          </w:p>
        </w:tc>
        <w:tc>
          <w:tcPr>
            <w:tcW w:w="124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Contexto</w:t>
            </w:r>
          </w:p>
        </w:tc>
        <w:tc>
          <w:tcPr>
            <w:tcW w:w="3005"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Principais Achados</w:t>
            </w:r>
          </w:p>
        </w:tc>
      </w:tr>
      <w:tr>
        <w:tc>
          <w:tcPr>
            <w:tcW w:w="1530"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Saket et al. [82]</w:t>
            </w:r>
          </w:p>
        </w:tc>
        <w:tc>
          <w:tcPr>
            <w:tcW w:w="107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Tunísia</w:t>
            </w:r>
          </w:p>
        </w:tc>
        <w:tc>
          <w:tcPr>
            <w:tcW w:w="793"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Formação e talentos; juvenil</w:t>
            </w:r>
          </w:p>
        </w:tc>
        <w:tc>
          <w:tcPr>
            <w:tcW w:w="963"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36; feminino</w:t>
            </w:r>
          </w:p>
        </w:tc>
        <w:tc>
          <w:tcPr>
            <w:tcW w:w="1360"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Motivação intrínseca</w:t>
            </w:r>
          </w:p>
        </w:tc>
        <w:tc>
          <w:tcPr>
            <w:tcW w:w="2041"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Relaxamento e imagética (8 semanas); 8 sem.</w:t>
            </w:r>
          </w:p>
        </w:tc>
        <w:tc>
          <w:tcPr>
            <w:tcW w:w="141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QE; treino regular</w:t>
            </w:r>
          </w:p>
        </w:tc>
        <w:tc>
          <w:tcPr>
            <w:tcW w:w="124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Staiano et al. [37]</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Dinamarca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79; misto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Demanda mental; frustração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controle (n = 39)</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Lepir et al. [81]</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Bósnia e Herzegov…</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10; s.i.</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Ansiedade geral e pré-competitiva</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Neurofeedback;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controle (n = 6)</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Norouzi et al. [38]</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Irã</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36;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de imagética;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controle</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Upadhyay et al. [39]</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Índia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 s.i.</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40; masculino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medido (desempenho técnico)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controle</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Benešová &amp; Drozdová [80]</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Tchéquia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31;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medido (desempenho técnico)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Imagética do movimento;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controle</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Martiny et al. [36]</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Brasil</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105; misto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Bem-estar mental; flow; tomada de decisão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controle (n = 52)</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Metan &amp; Küçük [79]</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Turquia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juvenil</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38; misto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Autoeficácia; precisão do arremesso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três grupos</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Hornstrup et al. [87]</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Dinamarca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Amador ou recreativo; juvenil</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28;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Bem-estar; motivação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controle inativo</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Paul Meeûs et al. [83]</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Bélgica; MD; Port…</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 s.i.</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112; s.i.</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Ansiedade competitiva</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controle (n = 63)</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Martínez et al. [77]</w:t>
            </w:r>
          </w:p>
        </w:tc>
        <w:tc>
          <w:tcPr>
            <w:tcW w:w="107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Espanha</w:t>
            </w:r>
          </w:p>
        </w:tc>
        <w:tc>
          <w:tcPr>
            <w:tcW w:w="793"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Efeito</w:t>
            </w:r>
          </w:p>
        </w:tc>
        <w:tc>
          <w:tcPr>
            <w:tcW w:w="1304"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Formação e talentos; juvenil</w:t>
            </w:r>
          </w:p>
        </w:tc>
        <w:tc>
          <w:tcPr>
            <w:tcW w:w="963"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n.r.; s.i.</w:t>
            </w:r>
          </w:p>
        </w:tc>
        <w:tc>
          <w:tcPr>
            <w:tcW w:w="1360"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não medido (desempenho técnico)</w:t>
            </w:r>
          </w:p>
        </w:tc>
        <w:tc>
          <w:tcPr>
            <w:tcW w:w="2041"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QE; não informada</w:t>
            </w:r>
          </w:p>
        </w:tc>
        <w:tc>
          <w:tcPr>
            <w:tcW w:w="124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6.</w:t>
      </w:r>
      <w:r>
        <w:rPr>
          <w:rFonts w:ascii="Palatino Linotype" w:hAnsi="Palatino Linotype"/>
          <w:i w:val="0"/>
          <w:sz w:val="18"/>
        </w:rPr>
        <w:t xml:space="preserve"> Características da amostra (nível, faixa etária, n e sexo), desfecho psicológico, intervenção, delineamento, contexto e achados dos estudos de intervenção com resultado misto, sem efeito ou de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Autores, Ano</w:t>
            </w:r>
          </w:p>
        </w:tc>
        <w:tc>
          <w:tcPr>
            <w:tcW w:w="107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País</w:t>
            </w:r>
          </w:p>
        </w:tc>
        <w:tc>
          <w:tcPr>
            <w:tcW w:w="793"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Direção</w:t>
            </w:r>
          </w:p>
        </w:tc>
        <w:tc>
          <w:tcPr>
            <w:tcW w:w="1304"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Nível e Faixa Etária</w:t>
            </w:r>
          </w:p>
        </w:tc>
        <w:tc>
          <w:tcPr>
            <w:tcW w:w="963"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n e Sexo</w:t>
            </w:r>
          </w:p>
        </w:tc>
        <w:tc>
          <w:tcPr>
            <w:tcW w:w="1360"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Desfecho Psicológico</w:t>
            </w:r>
          </w:p>
        </w:tc>
        <w:tc>
          <w:tcPr>
            <w:tcW w:w="2041"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Intervenção e Duração</w:t>
            </w:r>
          </w:p>
        </w:tc>
        <w:tc>
          <w:tcPr>
            <w:tcW w:w="141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Delineamento e Comparação</w:t>
            </w:r>
          </w:p>
        </w:tc>
        <w:tc>
          <w:tcPr>
            <w:tcW w:w="1247"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Contexto</w:t>
            </w:r>
          </w:p>
        </w:tc>
        <w:tc>
          <w:tcPr>
            <w:tcW w:w="3005" w:type="dxa"/>
            <w:tcBorders>
              <w:top w:val="single" w:sz="8" w:color="000000"/>
              <w:bottom w:val="single" w:sz="6" w:color="000000"/>
              <w:left w:val="nil"/>
              <w:right w:val="nil"/>
            </w:tcBorders>
          </w:tcPr>
          <w:p>
            <w:pPr>
              <w:spacing w:lineRule="exact" w:line="190"/>
              <w:jc w:val="center"/>
            </w:pPr>
            <w:r>
              <w:rPr>
                <w:rFonts w:ascii="Palatino Linotype" w:hAnsi="Palatino Linotype"/>
                <w:b/>
                <w:sz w:val="16"/>
              </w:rPr>
              <w:t>Principais Achados</w:t>
            </w:r>
          </w:p>
        </w:tc>
      </w:tr>
      <w:tr>
        <w:tc>
          <w:tcPr>
            <w:tcW w:w="1530"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Martins et al. [90]</w:t>
            </w:r>
          </w:p>
        </w:tc>
        <w:tc>
          <w:tcPr>
            <w:tcW w:w="107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Portugal</w:t>
            </w:r>
          </w:p>
        </w:tc>
        <w:tc>
          <w:tcPr>
            <w:tcW w:w="793"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Amador ou recreativo; master</w:t>
            </w:r>
          </w:p>
        </w:tc>
        <w:tc>
          <w:tcPr>
            <w:tcW w:w="963"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22; misto</w:t>
            </w:r>
          </w:p>
        </w:tc>
        <w:tc>
          <w:tcPr>
            <w:tcW w:w="1360"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Diversão</w:t>
            </w:r>
          </w:p>
        </w:tc>
        <w:tc>
          <w:tcPr>
            <w:tcW w:w="2041"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Handebol caminhado e recreativo (idosos); duração n.r.</w:t>
            </w:r>
          </w:p>
        </w:tc>
        <w:tc>
          <w:tcPr>
            <w:tcW w:w="141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ECR; caminhada (intraindividual)</w:t>
            </w:r>
          </w:p>
        </w:tc>
        <w:tc>
          <w:tcPr>
            <w:tcW w:w="1247"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nil"/>
              <w:bottom w:val="single" w:sz="4" w:color="000000"/>
              <w:left w:val="nil"/>
              <w:right w:val="nil"/>
            </w:tcBorders>
          </w:tcPr>
          <w:p>
            <w:pPr>
              <w:spacing w:before="20" w:after="20" w:lineRule="exact" w:line="190"/>
              <w:jc w:val="center"/>
            </w:pPr>
            <w:r>
              <w:rPr>
                <w:rFonts w:ascii="Palatino Linotype" w:hAnsi="Palatino Linotype"/>
                <w:i w:val="0"/>
                <w:sz w:val="16"/>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Malfa et al. [86]</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Espanha; México</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Misto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Formação e talentos; infantil</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63; s.i.</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Apoio à autonomia; motivação autônoma</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Ensino com apoio à autonomia;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controle</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Nuell et al. [93]</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Espanha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9; masculino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Recuperação percebida</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Compressão pneumática (5 semanas); 5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controle (n = 9)</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Bougrine et al. [95]</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Tunísia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Formação e talentos; juvenil</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13;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Sono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Cafeína durante o ramadã; 4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fases (cruzado)</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García-Herrero et al. [85]</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Espanha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Misto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73;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sem feedback</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Sánchez-Sáez et al. [89]</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Espanha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Formação e talentos; infantil</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35; misto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Competência percebida; diversão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sem controle (só pós-teste)</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Nishida et al. [92]</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Japão</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Universitário;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11; masculino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Sono; sonolência</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condição sem cochilo</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Tomar &amp; Allen [88]</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Arábia Saudita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Amador ou recreativo;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24; masculino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Sono; bem-estar</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não informada</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L'Hermette et al. [91]</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França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8;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Sensações emocionais e de regeneração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Cruzado; cruzado (autocontrole)</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Soto et al. [84]</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Espanha</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Misto</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39; feminino</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Afeto positivo; competência; motivação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ECR; feedback positivo × negativo</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Hasan et al. [78]</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Iraque</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s.i.; s.i.</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n.r.; s.i.</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medido (desempenho técnico)</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grupo de comparação</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Carvalho et al. [94]</w:t>
            </w:r>
          </w:p>
        </w:tc>
        <w:tc>
          <w:tcPr>
            <w:tcW w:w="107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Brasil</w:t>
            </w:r>
          </w:p>
        </w:tc>
        <w:tc>
          <w:tcPr>
            <w:tcW w:w="79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Não determ.</w:t>
            </w:r>
          </w:p>
        </w:tc>
        <w:tc>
          <w:tcPr>
            <w:tcW w:w="1304"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Profissional ou elite; juvenil</w:t>
            </w:r>
          </w:p>
        </w:tc>
        <w:tc>
          <w:tcPr>
            <w:tcW w:w="963"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25; s.i.</w:t>
            </w:r>
          </w:p>
        </w:tc>
        <w:tc>
          <w:tcPr>
            <w:tcW w:w="1360"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Estados de humor</w:t>
            </w:r>
          </w:p>
        </w:tc>
        <w:tc>
          <w:tcPr>
            <w:tcW w:w="2041"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QE; placebo</w:t>
            </w:r>
          </w:p>
        </w:tc>
        <w:tc>
          <w:tcPr>
            <w:tcW w:w="1247"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Treinamento</w:t>
            </w:r>
          </w:p>
        </w:tc>
        <w:tc>
          <w:tcPr>
            <w:tcW w:w="3005" w:type="dxa"/>
            <w:tcBorders>
              <w:top w:val="single" w:sz="4" w:color="000000"/>
              <w:bottom w:val="single" w:sz="4" w:color="000000"/>
              <w:left w:val="nil"/>
              <w:right w:val="nil"/>
            </w:tcBorders>
          </w:tcPr>
          <w:p>
            <w:pPr>
              <w:spacing w:before="20" w:after="20" w:lineRule="exact" w:line="190"/>
              <w:jc w:val="center"/>
            </w:pPr>
            <w:r>
              <w:rPr>
                <w:rFonts w:ascii="Palatino Linotype" w:hAnsi="Palatino Linotype"/>
                <w:i w:val="0"/>
                <w:sz w:val="16"/>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Khazdozi et al. [96]</w:t>
            </w:r>
          </w:p>
        </w:tc>
        <w:tc>
          <w:tcPr>
            <w:tcW w:w="107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Irã</w:t>
            </w:r>
          </w:p>
        </w:tc>
        <w:tc>
          <w:tcPr>
            <w:tcW w:w="793"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Nulo</w:t>
            </w:r>
          </w:p>
        </w:tc>
        <w:tc>
          <w:tcPr>
            <w:tcW w:w="1304"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Profissional ou elite; adulto</w:t>
            </w:r>
          </w:p>
        </w:tc>
        <w:tc>
          <w:tcPr>
            <w:tcW w:w="963"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24; feminino</w:t>
            </w:r>
          </w:p>
        </w:tc>
        <w:tc>
          <w:tcPr>
            <w:tcW w:w="1360"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Humor; motivação para o treino</w:t>
            </w:r>
          </w:p>
        </w:tc>
        <w:tc>
          <w:tcPr>
            <w:tcW w:w="2041"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QE; controle</w:t>
            </w:r>
          </w:p>
        </w:tc>
        <w:tc>
          <w:tcPr>
            <w:tcW w:w="1247"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Treino e competição</w:t>
            </w:r>
          </w:p>
        </w:tc>
        <w:tc>
          <w:tcPr>
            <w:tcW w:w="3005" w:type="dxa"/>
            <w:tcBorders>
              <w:top w:val="single" w:sz="4" w:color="000000"/>
              <w:bottom w:val="single" w:sz="8" w:color="000000"/>
              <w:left w:val="nil"/>
              <w:right w:val="nil"/>
            </w:tcBorders>
          </w:tcPr>
          <w:p>
            <w:pPr>
              <w:spacing w:before="20" w:after="20" w:lineRule="exact" w:line="190"/>
              <w:jc w:val="center"/>
            </w:pPr>
            <w:r>
              <w:rPr>
                <w:rFonts w:ascii="Palatino Linotype" w:hAnsi="Palatino Linotype"/>
                <w:i w:val="0"/>
                <w:sz w:val="16"/>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resultados foram relatados, e quais combinações de variável, contexto, nível e delineamento permanecem sem investigação?</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Dez intervenções foram ensaios randomizados, mas 10 das 22 com amostra informada tiveram menos de 30 participantes (mediana de 33); as amostras dos estudos com efeito (mediana de 39) foram significativamente maiores que as dos demais (mediana de 22; U = 108,0; p = 0,001). Quatro das dez intervenções de treino psicológico avaliaram apenas o desempenho técnico, e somente 3 estudos informaram o tamanho do efeito. Quanto às lacunas, 22 das 42 combinações entre intervenção e desfecho (52%) não apresentaram estudos (Figura 7B), e a razão entre estudos que investigaram cada domínio e intervenções que o tiveram como desfecho atingiu 18 para 1 na ansiedade e 10 para 1 na motivação; burnout e saúde mental não tiveram nenhuma intervenção (Figura 7C).</w:t>
      </w:r>
    </w:p>
    <w:p>
      <w:pPr>
        <w:spacing w:before="0" w:after="0" w:lineRule="exact" w:line="217"/>
        <w:ind w:left="2381" w:firstLine="425"/>
        <w:jc w:val="both"/>
      </w:pPr>
      <w:r>
        <w:rPr>
          <w:rFonts w:ascii="Palatino Linotype" w:hAnsi="Palatino Linotype"/>
          <w:i w:val="0"/>
          <w:sz w:val="20"/>
        </w:rPr>
        <w:t>Quanto à direção dos achados por domínio, motivação e autoeficácia (70%) e burnout e saúde mental (71%) reuniram as maiores proporções de estudos com efeito ou associação relatado, ao passo que humor e afeto (31%) e ansiedade e estresse (28%) concentraram as maiores proporções de resultados mistos. A ausência de efeito foi rara em todos os domínios, padrão compatível com o predomínio de estudos observacionais e com o viés de publicação de resultados significativos. A Figura 8 apresenta a frequência dos estudos segundo o domínio conceitual e a direção do achado.</w:t>
      </w:r>
    </w:p>
    <w:p>
      <w:pPr>
        <w:keepNext/>
        <w:spacing w:before="120" w:after="40" w:lineRule="auto" w:line="240"/>
        <w:ind w:left="0" w:firstLine="0"/>
        <w:jc w:val="center"/>
      </w:pPr>
      <w:r>
        <w:drawing>
          <wp:inline xmlns:a="http://schemas.openxmlformats.org/drawingml/2006/main" xmlns:pic="http://schemas.openxmlformats.org/drawingml/2006/picture">
            <wp:extent cx="5400000" cy="2430000"/>
            <wp:docPr id="8" name="Picture 8"/>
            <wp:cNvGraphicFramePr>
              <a:graphicFrameLocks noChangeAspect="1"/>
            </wp:cNvGraphicFramePr>
            <a:graphic>
              <a:graphicData uri="http://schemas.openxmlformats.org/drawingml/2006/picture">
                <pic:pic>
                  <pic:nvPicPr>
                    <pic:cNvPr id="0" name="ijerph_dominio_direcao.png"/>
                    <pic:cNvPicPr/>
                  </pic:nvPicPr>
                  <pic:blipFill>
                    <a:blip r:embed="rId17"/>
                    <a:stretch>
                      <a:fillRect/>
                    </a:stretch>
                  </pic:blipFill>
                  <pic:spPr>
                    <a:xfrm>
                      <a:off x="0" y="0"/>
                      <a:ext cx="5400000" cy="243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Número de estudos segundo o domínio conceitual investigado no treinamento e na competição do handebol e a direção do achado. (A) número de estudos, com o total à direita; (B) proporção dos estudos de cada domínio; um estudo pode investigar mais de um domínio.</w:t>
      </w:r>
    </w:p>
    <w:p>
      <w:pPr>
        <w:keepNext/>
        <w:spacing w:before="120" w:after="40" w:lineRule="exact" w:line="217"/>
        <w:ind w:left="2381" w:firstLine="0"/>
        <w:jc w:val="left"/>
      </w:pPr>
      <w:r>
        <w:rPr>
          <w:rFonts w:ascii="Palatino Linotype" w:hAnsi="Palatino Linotype"/>
          <w:i/>
          <w:sz w:val="20"/>
        </w:rPr>
        <w:t>4.2. Avaliação dos Estudos de Intervenção</w:t>
      </w:r>
    </w:p>
    <w:p>
      <w:pPr>
        <w:spacing w:before="0" w:after="0" w:lineRule="exact" w:line="217"/>
        <w:ind w:left="2381" w:firstLine="425"/>
        <w:jc w:val="both"/>
      </w:pPr>
      <w:r>
        <w:rPr>
          <w:rFonts w:ascii="Palatino Linotype" w:hAnsi="Palatino Linotype"/>
          <w:i w:val="0"/>
          <w:sz w:val="20"/>
        </w:rPr>
        <w:t>A Figura 9 apresenta os indicadores de relato e de delineamento dos 24 estudos de intervenção. Nenhum estudo atendeu aos seis indicadores; 3 atenderam a cinco, 10 a quatro, 6 a três e 5 a dois ou menos. O grupo ou a condição de comparação esteve presente em 21 estudos e o desfecho psicológico foi medido em 20, mas a randomização ocorreu em 10, a amostra alcançou 30 participantes em 12, a duração foi informada em 14 e o tamanho do efeito foi relatado em apenas 3. Esse padrão ocorreu principalmente pela falta de detalhamento metodológico e pelo tamanho reduzido das amostras.</w:t>
      </w:r>
    </w:p>
    <w:p>
      <w:pPr>
        <w:keepNext/>
        <w:spacing w:before="120" w:after="40" w:lineRule="auto" w:line="240"/>
        <w:ind w:left="2381" w:firstLine="0"/>
        <w:jc w:val="center"/>
      </w:pPr>
      <w:r>
        <w:drawing>
          <wp:inline xmlns:a="http://schemas.openxmlformats.org/drawingml/2006/main" xmlns:pic="http://schemas.openxmlformats.org/drawingml/2006/picture">
            <wp:extent cx="4896000" cy="5216688"/>
            <wp:docPr id="9" name="Picture 9"/>
            <wp:cNvGraphicFramePr>
              <a:graphicFrameLocks noChangeAspect="1"/>
            </wp:cNvGraphicFramePr>
            <a:graphic>
              <a:graphicData uri="http://schemas.openxmlformats.org/drawingml/2006/picture">
                <pic:pic>
                  <pic:nvPicPr>
                    <pic:cNvPr id="0" name="ijerph_indicadores_intervencoes.png"/>
                    <pic:cNvPicPr/>
                  </pic:nvPicPr>
                  <pic:blipFill>
                    <a:blip r:embed="rId18"/>
                    <a:stretch>
                      <a:fillRect/>
                    </a:stretch>
                  </pic:blipFill>
                  <pic:spPr>
                    <a:xfrm>
                      <a:off x="0" y="0"/>
                      <a:ext cx="4896000" cy="5216688"/>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Indicadores de relato e de delineamento dos estudos de intervenção. Estudos em ordem cronológica decrescente; sim (+), não (−) e não informado (?); à direita, número de indicadores atendidos. Os indicadores descrevem o relato e o delineamento e não substituem a avaliação formal do risco de viés.</w:t>
      </w:r>
    </w:p>
    <w:p>
      <w:pPr>
        <w:keepNext/>
        <w:spacing w:before="200" w:after="80" w:lineRule="exact" w:line="300"/>
        <w:ind w:left="2381" w:firstLine="0"/>
        <w:jc w:val="left"/>
      </w:pPr>
      <w:r>
        <w:rPr>
          <w:rFonts w:ascii="Palatino Linotype" w:hAnsi="Palatino Linotype"/>
          <w:b/>
          <w:sz w:val="24"/>
        </w:rPr>
        <w:t>5. Discussão</w:t>
      </w:r>
    </w:p>
    <w:p>
      <w:pPr>
        <w:spacing w:before="0" w:after="0" w:lineRule="exact" w:line="217"/>
        <w:ind w:left="2381" w:firstLine="425"/>
        <w:jc w:val="both"/>
      </w:pPr>
      <w:r>
        <w:rPr>
          <w:rFonts w:ascii="Palatino Linotype" w:hAnsi="Palatino Linotype"/>
          <w:i w:val="0"/>
          <w:sz w:val="20"/>
        </w:rPr>
        <w:t>Esta é a primeira revisão de mapeamento realizada sobre as variáveis psicológicas investigadas no treinamento e na competição do handebol, com estudos de diferentes delineamentos. As variáveis psicológicas associam-se ao desempenho e à saúde do atleta [1,2], e efeitos, associações, resultados mistos e lacunas foram observados nos 199 estudos; assim, buscou-se desenvolver esta discussão com base nesses resultados e relacioná-los aos diversos achados sobre o tema na literatura. Três constatações atravessam a discussão: a área cresceu de modo acelerado e deslocou parte da atenção da motivação para a carga, a recuperação e o bem-estar; para cada estudo de intervenção existem cerca de sete estudos observacionais, o que confirma a hipótese de trabalho; e sexo, contexto, instrumento e dose faltam em parcela expressiva dos estudos.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[1,2,4]. A concentração na Espanha e no Brasil coincide com regiões de forte tradição competitiva, mas a expansão recente incluiu estudos do Irã sobre o medo de nova lesão [97] e da Tunísia sobre os efeitos do jejum do Ramadã [98,99]. A pandemia de COVID-19 gerou um núcleo próprio de estudos, que documentou a queda da carga de treino e da qualidade do sono durante o isolamento [100], a redução do bem-estar psicológico de jogadoras de seleção [101] e a preparação mental de atletas olímpicos sob imprevisibilidade [102].</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[103], e o medo de nova lesão foi maior entre os homens [97]. A correlação negativa entre ano e tamanho amostral reflete a expansão de delineamentos intensivos, com medidas repetidas em poucos atletas de uma mesma equipe [104–106]. Esses delineamentos aproximam a pesquisa da rotina das equipes, porém exigem modelos estatísticos adequados à dependência entre observações [107], e a falta de relato da amostra configura desperdício evitável de pesquisa [46].</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[108] e com a tradição da ansiedade competitiva [109]. Os estudos recentes refinaram essa agenda. Em medidas repetidas a cada treino, o apoio do treinador às necessidades psicológicas básicas associou-se ao prazer de jovens jogadoras [106,110]; o controle exercido pelo treinador predisse mais ansiedade e menos autoconfiança, enquanto a coesão predisse o padrão inverso [111]; e a qualidade da relação entre treinador e atleta associou-se à coesão e à motivação autônoma [112]. O clima orientado ao ego associou-se à ansiedade e à depressão de adolescentes [33], e perfis com maior medo do fracasso reuniram a maior ansiedade e a menor motivação autodeterminada [113,114].</w:t>
      </w:r>
    </w:p>
    <w:p>
      <w:pPr>
        <w:spacing w:before="0" w:after="0" w:lineRule="exact" w:line="217"/>
        <w:ind w:left="2381" w:firstLine="425"/>
        <w:jc w:val="both"/>
      </w:pPr>
      <w:r>
        <w:rPr>
          <w:rFonts w:ascii="Palatino Linotype" w:hAnsi="Palatino Linotype"/>
          <w:i w:val="0"/>
          <w:sz w:val="20"/>
        </w:rPr>
        <w:t>Burnout e saúde mental, centrais nas recomendações internacionais [115,116], reuniram 14 estudos, quase todos recentes. O medo do fracasso mediou a relação entre comprometimento e burnout em jovens [117]; o burnout aumentou em candidatos à seleção brasileira ao longo de um camping nacional, embora em níveis baixos [118]; a carga psicossocial predisse lesões e doenças em atletas de elite [119]; e a afetividade negativa compôs o perfil de risco para o uso preventivo de analgésicos [120]. Esses achados convergem com a metanálise que associa estresse e burnout [121] e com a prontidão psicológica como condição para o retorno ao esporte após lesão [122].</w:t>
      </w:r>
    </w:p>
    <w:p>
      <w:pPr>
        <w:spacing w:before="0" w:after="0" w:lineRule="exact" w:line="217"/>
        <w:ind w:left="2381" w:firstLine="425"/>
        <w:jc w:val="both"/>
      </w:pPr>
      <w:r>
        <w:rPr>
          <w:rFonts w:ascii="Palatino Linotype" w:hAnsi="Palatino Linotype"/>
          <w:i w:val="0"/>
          <w:sz w:val="20"/>
        </w:rPr>
        <w:t>A triangulação da Tabela 4 distinguiu sinal e ruído. Apenas dois movimentos sustentaram-se nos três métodos: o declínio da motivação, com inflexão em 2014, e a ascensão do sono, do bem-estar e da recuperação, com a maior razão sinal/ruído do conjunto. As oscilações de ansiedade, humor e habilidades mentais situaram-se no ruído e não devem ser interpretadas como mudanças de agenda. Processos de grupo e burnout raramente foram estudados isoladamente e associaram-se à motivação acima do acaso, padrão coerente com o modelo que vincula o clima criado pelo treinador ao burnout [123,124]. A rede, contudo, mostrou temas relativamente separados (modularidade de 0,445), e a dispersão dos instrumentos reforça a necessidade de padronizar a medida [43].</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[35]; a pressão manipulada experimentalmente elevou a ansiedade sem afetar o desempenho [34]; a autoestima aumentou a probabilidade de gol sob esquemas de incentivo [125]; e goleiros internacionais relataram confiança moderada a alta diante da regra do gol vazio, associada à quantidade de prática [126]. Esses resultados convergem com a leitura de pistas como competência central do goleiro [127] e com a modelagem da força momentânea, que identifica fases de vantagem e de desvantagem ao longo da partida [128].</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[129]; outro mostrou que a aprendizagem por imaginação favoreceu a reconstrução de diagramas táticos apenas entre novatos [130]; e a introdução de oposição reduziu a velocidade e a precisão do arremesso [131]. Em contraste, a literatura perceptivo-cognitiva do handebol examina a antecipação, a leitura de pistas e as representações táticas [20,23,25], e o sono facilitou o treino de antecipação de goleiros novatos [132],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[133,134] e com o consenso sobre o sono do atleta [135]. As escalas breves de estresse e recuperação associaram-se à creatina quinase [136] e à carga externa durante o jogo oficial [105]; a posição e a condição de titular modularam a fadiga e o índice de Hooper após as partidas [137]; as viagens reduziram o tempo de sono [138]; e o desligamento mental atenuou a relação entre demandas e desempenho [139]. A percepção subjetiva de esforço, válida para quantificar a carga de jovens handebolistas [140], sustenta o monitoramento de temporadas completas no handebol feminino de elite [141], e no handebol de praia as demandas próprias da modalidade [142] acompanharam o aumento do estresse e da fadiga durante competições de vários dias [31].</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[48]. Os experimentos sem intervenção demonstram, ainda assim, que os estados psicológicos respondem de modo causal a manipulações controladas: a fadiga mental prejudicou o desempenho físico [143]; o horário do dia modulou o humor e o rendimento [144]; o jejum do Ramadã alterou a sonolência e o desempenho cognitivo [98,99]; e a introdução de oposição reduziu a velocidade e a precisão do arremesso sem alterar as estratégias de enfrentamento [131].</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[145] e os delineamentos de caso único com linha de base múltipla [146] oferecem alternativas rigorosas. Os comparadores também são frágeis: predominaram controles inativos, e apenas uma intervenção empregou placebo [94]. Com mediana de 33 participantes, o poder estatístico é baixo e os efeitos significativos tendem a ser superestimados [47,147]; a semelhança entre a proporção de efeitos nos ensaios randomizados (7 de 10) e nos quase-experimentais (7 de 13) não indica, portanto, robustez.</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[79]; o relaxamento muscular progressivo com imagética melhorou a motivação autodeterminada [82]; um programa de flow baseado em mindfulness aprimorou a tomada de decisão e o bem-estar [36]; e seis semanas de mindfulness melhoraram o controle inibitório em ensaio randomizado [37]. Um programa piloto de compaixão e terapia de aceitação e compromisso reduziu o estresse competitivo [148], e a hipnose adaptada à equipe, aplicada ao longo de oito jogos oficiais, melhorou as subescalas de ansiedade e de autoconfiança [40]. Esses resultados convergem com as metanálises sobre autodiálogo [149], imagética [150] e mindfulness [151], bem como com a síntese de Reinebo et al. [45],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[39,77,78,80], o que impede distinguir o efeito psicológico do efeito da prática adicional [152]. Em outro, ansiedade e estresse diminuíram em todos os grupos, inclusive no controle [38]. E nenhuma intervenção visou o burnout, a saúde mental ou a construção de equipe, apesar de programas testados em atletas [153] e de efeitos documentados em metanálise [154]. As intervenções conduzidas pelo treinador ocupam posição estratégica, pois alcançam toda a equipe: o feedback em vídeo entregue a treinadores reduziu a ansiedade dos atletas [83], e o feedback positivo, negativo ou comparativo alterou o afeto e a competência percebida [84,85], em consonância com a metanálise de intervenções baseadas na autodeterminação [155]; o próprio treinador, também exposto ao estresse do jogo, foi objeto de um protocolo de respiração lenta aplicado em partidas oficiais [156]. No domínio da recuperação, o contraste é notório: o tema de carga, recuperação e bem-estar foi o maior da rede, com 109 estudos, mas as três intervenções testadas reuniram até 11 atletas e desfechos de curto prazo [91–93]. Pela abordagem GRADE [157], apenas o treino psicológico e o feedback do treinador alcançaram certeza moderada.</w:t>
      </w:r>
    </w:p>
    <w:p>
      <w:pPr>
        <w:keepNext/>
        <w:spacing w:before="120" w:after="40" w:lineRule="exact" w:line="217"/>
        <w:ind w:left="2381" w:firstLine="0"/>
        <w:jc w:val="left"/>
      </w:pPr>
      <w:r>
        <w:rPr>
          <w:rFonts w:ascii="Palatino Linotype" w:hAnsi="Palatino Linotype"/>
          <w:i/>
          <w:sz w:val="20"/>
        </w:rPr>
        <w:t>5.1. Limitações e Estudos Futuros</w:t>
      </w:r>
    </w:p>
    <w:p>
      <w:pPr>
        <w:spacing w:before="0" w:after="0" w:lineRule="exact" w:line="217"/>
        <w:ind w:left="2381" w:firstLine="425"/>
        <w:jc w:val="both"/>
      </w:pPr>
      <w:r>
        <w:rPr>
          <w:rFonts w:ascii="Palatino Linotype" w:hAnsi="Palatino Linotype"/>
          <w:i w:val="0"/>
          <w:sz w:val="20"/>
        </w:rPr>
        <w:t>A triagem e a extração foram assistidas por modelo de linguagem, e a conferência humana por amostragem não foi concluída, de modo que os resultados devem ser considerados provisórios. A pré-classificação por regras deixou 1.613 registros fora da triagem, os desfechos provieram do texto completo em 146 estudos e, por se tratar de revisão de mapeamento, não se avaliou a qualidade metodológica nem se estimou o tamanho dos efeitos [51]. Entre os pontos fortes, destacam-se a busca em oito bases sem restrição de data, a análise temporal triangulada e a rastreabilidade de cada resultado até o trecho literal da fonte (Apêndice A). A Tabela 7 converte as lacunas em agenda; recomendam-se o relato conforme o CONSORT [158] e a descrição da intervenção conforme o TIDieR [159].</w:t>
      </w:r>
    </w:p>
    <w:p>
      <w:pPr>
        <w:keepNext/>
        <w:spacing w:before="160" w:after="80" w:lineRule="exact" w:line="216"/>
        <w:ind w:left="2381" w:firstLine="0"/>
        <w:jc w:val="both"/>
      </w:pPr>
      <w:r>
        <w:rPr>
          <w:rFonts w:ascii="Palatino Linotype" w:hAnsi="Palatino Linotype"/>
          <w:b/>
          <w:sz w:val="18"/>
        </w:rPr>
        <w:t>Tabela 7.</w:t>
      </w:r>
      <w:r>
        <w:rPr>
          <w:rFonts w:ascii="Palatino Linotype" w:hAnsi="Palatino Linotype"/>
          <w:i w:val="0"/>
          <w:sz w:val="18"/>
        </w:rPr>
        <w:t xml:space="preserve"> Agenda de pesquisa para estudos de intervenção psicológica no handebol.</w:t>
      </w:r>
    </w:p>
    <w:tbl>
      <w:tblPr>
        <w:jc w:val="center"/>
        <w:tblLayout w:type="fixed"/>
        <w:tblLook w:firstColumn="1" w:firstRow="1" w:lastColumn="0" w:lastRow="0" w:noHBand="0" w:noVBand="1" w:val="04A0"/>
        <w:tblW w:w="9072" w:type="dxa"/>
        <w:tblLayout w:type="fixed"/>
      </w:tblPr>
      <w:tblGrid>
        <w:gridCol w:w="1927"/>
        <w:gridCol w:w="2381"/>
        <w:gridCol w:w="2381"/>
        <w:gridCol w:w="2381"/>
      </w:tblGrid>
      <w:tr>
        <w:trPr>
          <w:tblHeader w:val="true"/>
        </w:trPr>
        <w:tc>
          <w:tcPr>
            <w:tcW w:w="1927"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Lacuna identificada</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Situação atual</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Delineamento recomendado</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Desfechos e medidas</w:t>
            </w:r>
          </w:p>
        </w:tc>
      </w:tr>
      <w:tr>
        <w:tc>
          <w:tcPr>
            <w:tcW w:w="1927"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e saúde mental</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14 estudos observacionais; nenhuma intervenção</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ECR por equipes, com seguimento de uma temporada</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(ABQ), sintomas de saúde mental e abandono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no microciclo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intervenções agudas ou curtas, n ≤ 11</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Cruzado ou ECR com monitoramento diário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percebida, sono e carga interna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Intervenção na competição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Uma intervenção recente avaliada em jogos oficiais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Caso único ou ECR em torneio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Ansiedade de estado (CSAI-2R) e indicadores de jogo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Mediadores do treino psicológico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4 de 10 estudos sem medida psicológica</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fatorial com medida do mediador</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Autoeficácia, atenção e regulação emocional</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Ação do treinador em longo prazo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Efeitos imediatos; motivação autônoma com resultado misto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por equipes, seguimento de 6 a 12 meses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Necessidades básicas e motivação autônoma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Decisão sob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Poucos estudos, com medidas fora do jogo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Oclusão temporal e jogos reduzidos com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Precisão e tempo de decisão, busca visual e ansiedade</w:t>
            </w:r>
          </w:p>
        </w:tc>
      </w:tr>
      <w:tr>
        <w:tc>
          <w:tcPr>
            <w:tcW w:w="1927"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Categorias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Nenhum ECR entre os 50 estudos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ECR por clubes ou escolas, estratificado por sexo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Diversão, competência e intenção de persistir</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w:t>
      </w:r>
    </w:p>
    <w:p>
      <w:pPr>
        <w:spacing w:before="0" w:after="0" w:lineRule="exact" w:line="217"/>
        <w:ind w:left="2381" w:firstLine="425"/>
        <w:jc w:val="both"/>
      </w:pPr>
      <w:r>
        <w:rPr>
          <w:rFonts w:ascii="Palatino Linotype" w:hAnsi="Palatino Linotype"/>
          <w:i w:val="0"/>
          <w:sz w:val="20"/>
        </w:rPr>
        <w:t>Embora 199 estudos tenham sido publicados desde 1994, com concentração nos últimos anos, é necessário um esforço dos pesquisadores para produzir conhecimento experimental sobre as variáveis psicológicas no handebol, pois, apesar do número relevante de estudos, as intervenções são poucas, curtas e de amostras pequenas, o que limita conclusões específicas. A maioria dos estudos também não relatou o sexo, o contexto da medida, o instrumento ou a dose da intervenção, informações que condicionam a interpretação dos resultados. O foco de estudos futuros deve ser testar intervenções em diferentes contextos de treinamento e de competição, níveis competitivos e categorias, com ensaios randomizados por equipes [145], delineamentos de caso único [146], medida dos mediadores psicológicos [152] e seguimento prolongado.</w:t>
      </w:r>
    </w:p>
    <w:p>
      <w:pPr>
        <w:keepNext/>
        <w:spacing w:before="120" w:after="40" w:lineRule="exact" w:line="217"/>
        <w:ind w:left="2381" w:firstLine="0"/>
        <w:jc w:val="left"/>
      </w:pPr>
      <w:r>
        <w:rPr>
          <w:rFonts w:ascii="Palatino Linotype" w:hAnsi="Palatino Linotype"/>
          <w:i/>
          <w:sz w:val="20"/>
        </w:rPr>
        <w:t>5.2. Inovações, Pontos Fortes e Aplicações Práticas</w:t>
      </w:r>
    </w:p>
    <w:p>
      <w:pPr>
        <w:spacing w:before="0" w:after="0" w:lineRule="exact" w:line="217"/>
        <w:ind w:left="2381" w:firstLine="425"/>
        <w:jc w:val="both"/>
      </w:pPr>
      <w:r>
        <w:rPr>
          <w:rFonts w:ascii="Palatino Linotype" w:hAnsi="Palatino Linotype"/>
          <w:i w:val="0"/>
          <w:sz w:val="20"/>
        </w:rPr>
        <w:t>Até onde se tem conhecimento, após extensa busca em bases internacionais, a presente revisão de mapeamento é a primeira desenvolvida sobre as variáveis psicológicas no treinamento e na competição do handebol. Além desse caráter inovador, a revisão combinou a análise de redes de coocorrência, a análise temporal triangulada e a rastreabilidade de cada resultado até o trecho literal da fonte, o que distingue sinal e ruído na trajetória da produção e permite verificar cada afirmação (Apêndice A).</w:t>
      </w:r>
    </w:p>
    <w:p>
      <w:pPr>
        <w:spacing w:before="0" w:after="0" w:lineRule="exact" w:line="217"/>
        <w:ind w:left="2381" w:firstLine="425"/>
        <w:jc w:val="both"/>
      </w:pPr>
      <w:r>
        <w:rPr>
          <w:rFonts w:ascii="Palatino Linotype" w:hAnsi="Palatino Linotype"/>
          <w:i w:val="0"/>
          <w:sz w:val="20"/>
        </w:rPr>
        <w:t>Os resultados, as análises e as conclusões permitem diversas aplicações práticas. Para técnicos, as evidências sustentam sessões breves e regulares de habilidades psicológicas associadas a tarefas específicas do jogo [36,37], o apoio às necessidades psicológicas dos atletas [106], o encorajamento verbal entre colegas, que melhorou indicadores ofensivos em jogos reduzidos [160], e o monitoramento do sono e do bem-estar em relação à carga, às viagens e ao calendário [137,138]. Para atletas, recomendam-se rotinas pré-desempenho com autodiálogo e imagética [149] e o desligamento psicológico fora do treino [139].</w:t>
      </w:r>
    </w:p>
    <w:p>
      <w:pPr>
        <w:spacing w:before="0" w:after="0" w:lineRule="exact" w:line="217"/>
        <w:ind w:left="2381" w:firstLine="425"/>
        <w:jc w:val="both"/>
      </w:pPr>
      <w:r>
        <w:rPr>
          <w:rFonts w:ascii="Palatino Linotype" w:hAnsi="Palatino Linotype"/>
          <w:i w:val="0"/>
          <w:sz w:val="20"/>
        </w:rPr>
        <w:t>Com base nas recomendações dos estudos incluídos nesta revisão de mapeamento, estratificaram-se informações relevantes para pesquisadores e gestores esportivos e para técnicos, psicólogos do esporte e atletas, a fim de orientar a prática e identificar lacunas a serem investigadas em pesquisas futuras. Os cuidados e as observações a serem considerados são apresentados na Tabela 8.</w:t>
      </w:r>
    </w:p>
    <w:p>
      <w:pPr>
        <w:keepNext/>
        <w:spacing w:before="160" w:after="80" w:lineRule="exact" w:line="216"/>
        <w:ind w:left="2381" w:firstLine="0"/>
        <w:jc w:val="both"/>
      </w:pPr>
      <w:r>
        <w:rPr>
          <w:rFonts w:ascii="Palatino Linotype" w:hAnsi="Palatino Linotype"/>
          <w:b/>
          <w:sz w:val="18"/>
        </w:rPr>
        <w:t>Tabela 8.</w:t>
      </w:r>
      <w:r>
        <w:rPr>
          <w:rFonts w:ascii="Palatino Linotype" w:hAnsi="Palatino Linotype"/>
          <w:i w:val="0"/>
          <w:sz w:val="18"/>
        </w:rPr>
        <w:t xml:space="preserve"> Recomendações para pesquisadores e gestores esportivos e para técnicos, psicólogos do esporte e atletas.</w:t>
      </w:r>
    </w:p>
    <w:tbl>
      <w:tblPr>
        <w:jc w:val="center"/>
        <w:tblLayout w:type="fixed"/>
        <w:tblLook w:firstColumn="1" w:firstRow="1" w:lastColumn="0" w:lastRow="0" w:noHBand="0" w:noVBand="1" w:val="04A0"/>
        <w:tblW w:w="9072" w:type="dxa"/>
        <w:tblLayout w:type="fixed"/>
      </w:tblPr>
      <w:tblGrid>
        <w:gridCol w:w="4536"/>
        <w:gridCol w:w="4536"/>
      </w:tblGrid>
      <w:tr>
        <w:trPr>
          <w:tblHeader w:val="true"/>
        </w:trPr>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Pesquisadores e Gestores Esportivos</w:t>
            </w:r>
          </w:p>
        </w:tc>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Técnicos, Psicólogos do Esporte e Atletas</w:t>
            </w:r>
          </w:p>
        </w:tc>
      </w:tr>
      <w:tr>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Ensaios randomizados por equipes (conglomerados), com seguimento de uma temporada, pois a randomização individual é pouco viável quando os atletas treinam juntos [145].</w:t>
            </w:r>
          </w:p>
        </w:tc>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Sessões breves e regulares de habilidades psicológicas associadas a tarefas específicas do jogo [36,37].</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Delineamentos de caso único com linha de base múltipla como alternativa rigorosa para equipes pequenas [146].</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Apoio do treinador às necessidades psicológicas básicas dos atletas [106].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Cálculo do poder estatístico, pois amostras com mediana de 33 participantes tendem a superestimar os efeitos significativos [47,147].</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Atenção ao clima orientado ao ego, associado à ansiedade e à depressão de adolescentes [33].</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Intervenções voltadas ao burnout e à saúde mental, domínio ainda sem teste experimental no handebol [153].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Uso planejado do feedback, que alterou a ansiedade, o afeto e a competência percebida dos atletas [83–85].</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Medida dos mediadores psicológicos nos programas de treino mental, e não apenas do desempenho técnico [152].</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Encorajamento verbal entre colegas em jogos reduzidos [160].</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Relato conforme o CONSORT [158] e descrição da intervenção conforme o TIDieR [159], com sexo, contexto, instrumento e dose.</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Monitoramento do sono e do bem-estar em relação à carga, às viagens e ao calendário [137,138].</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Padronização dos instrumentos, para reduzir a dispersão das medidas entre os estudos [43].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Rotinas pré-desempenho com autodiálogo e imagética [149].</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Modelos estatísticos adequados a medidas repetidas em poucos atletas de uma mesma equipe [107].</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Desligamento psicológico fora do treino [139].</w:t>
            </w:r>
          </w:p>
        </w:tc>
      </w:tr>
      <w:tr>
        <w:tc>
          <w:tcPr>
            <w:tcW w:w="4536"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  Integração das tradições psicológica e perceptivo-cognitiva no estudo da decisão sob oposição [20,23].</w:t>
            </w:r>
          </w:p>
        </w:tc>
        <w:tc>
          <w:tcPr>
            <w:tcW w:w="4536" w:type="dxa"/>
            <w:tcBorders>
              <w:top w:val="single" w:sz="4" w:color="000000"/>
              <w:bottom w:val="single" w:sz="8" w:color="000000"/>
              <w:left w:val="nil"/>
              <w:right w:val="nil"/>
            </w:tcBorders>
          </w:tcPr>
          <w:p>
            <w:pPr>
              <w:spacing w:before="20" w:after="20" w:lineRule="exact" w:line="210"/>
              <w:jc w:val="left"/>
            </w:pPr>
          </w:p>
        </w:tc>
      </w:tr>
    </w:tbl>
    <w:p>
      <w:pPr>
        <w:spacing w:after="40"/>
      </w:pPr>
    </w:p>
    <w:p>
      <w:pPr>
        <w:keepNext/>
        <w:spacing w:before="200" w:after="80" w:lineRule="exact" w:line="300"/>
        <w:ind w:left="2381" w:firstLine="0"/>
        <w:jc w:val="left"/>
      </w:pPr>
      <w:r>
        <w:rPr>
          <w:rFonts w:ascii="Palatino Linotype" w:hAnsi="Palatino Linotype"/>
          <w:b/>
          <w:sz w:val="24"/>
        </w:rPr>
        <w:t>6. Conclusões</w:t>
      </w:r>
    </w:p>
    <w:p>
      <w:pPr>
        <w:spacing w:before="0" w:after="0" w:lineRule="exact" w:line="217"/>
        <w:ind w:left="2381" w:firstLine="425"/>
        <w:jc w:val="both"/>
      </w:pPr>
      <w:r>
        <w:rPr>
          <w:rFonts w:ascii="Palatino Linotype" w:hAnsi="Palatino Linotype"/>
          <w:i w:val="0"/>
          <w:sz w:val="20"/>
        </w:rPr>
        <w:t>Com base na presente revisão de mapeamento de 199 estudos de oito bases de dados, que analisou o estado da arte das variáveis psicológicas investigadas no treinamento e na competição do handebol, concluiu-se que essas evidências são amplas, recentes e predominantemente observacionais. Os 199 estudos concentraram-se após 2020, na Espanha e no Brasil e em atletas de alto rendimento e de formação, com amostras pequenas e relato incompleto do sexo (QP1). Motivação, ansiedade e recuperação dominaram a produção, em temas pouco conectados, e a triangulação confirmou apenas o declínio da motivação e a ascensão do sono, do bem-estar e da recuperação (QP2 e QP3). Apenas 28 estudos adotaram delineamento experimental e 24 testaram intervenções, centradas no treino psicológico e na ação do treinador (QP4), e 14 relataram efeito, ao passo que burnout e saúde mental permanecem sem teste experimental e a competição oficial reúne uma única intervenção recente (QP5). A principal implicação é a lacuna de translação entre as variáveis mais descritas e as mais testadas. Para a prática, o treino de habilidades psicológicas e o apoio à autonomia pelo treinador constituem as opções com maior respaldo; para a pesquisa, a prioridade reside em ensaios randomizados por equipes, com cálculo de poder, medida dos mediadores e seguimento prolongado. Cada tiro de sete metros, cada defesa do goleiro e cada tempo técnico no limite do cronômetro guardam perguntas psicológicas que a área já sabe formular, mas às quais ainda não respondeu com experimentos.</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 extração dos dados dos 199 estudos incluídos consta do Apêndice A. As strings de busca, base a base, e o protocolo podem ser disponibilizados pelos autores.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do Comitê de Ética:</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Termo de Consentimento Livre e Esclarecido: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Abreviaturas</w:t>
      </w:r>
    </w:p>
    <w:p>
      <w:pPr>
        <w:tabs>
          <w:tab w:pos="3685" w:val="left"/>
        </w:tabs>
        <w:spacing w:before="0" w:after="0" w:lineRule="exact" w:line="220"/>
        <w:ind w:left="2381" w:firstLine="0"/>
        <w:jc w:val="left"/>
      </w:pPr>
      <w:r>
        <w:rPr>
          <w:rFonts w:ascii="Palatino Linotype" w:hAnsi="Palatino Linotype"/>
          <w:i w:val="0"/>
          <w:sz w:val="18"/>
        </w:rPr>
        <w:t>ABQ</w:t>
        <w:tab/>
        <w:t>Athlete Burnout Questionnaire</w:t>
      </w:r>
    </w:p>
    <w:p>
      <w:pPr>
        <w:tabs>
          <w:tab w:pos="3685" w:val="left"/>
        </w:tabs>
        <w:spacing w:before="0" w:after="0" w:lineRule="exact" w:line="220"/>
        <w:ind w:left="2381" w:firstLine="0"/>
        <w:jc w:val="left"/>
      </w:pPr>
      <w:r>
        <w:rPr>
          <w:rFonts w:ascii="Palatino Linotype" w:hAnsi="Palatino Linotype"/>
          <w:i w:val="0"/>
          <w:sz w:val="18"/>
        </w:rPr>
        <w:t>CONSORT</w:t>
        <w:tab/>
        <w:t>Consolidated Standards of Reporting Trials</w:t>
      </w:r>
    </w:p>
    <w:p>
      <w:pPr>
        <w:tabs>
          <w:tab w:pos="3685" w:val="left"/>
        </w:tabs>
        <w:spacing w:before="0" w:after="0" w:lineRule="exact" w:line="220"/>
        <w:ind w:left="2381" w:firstLine="0"/>
        <w:jc w:val="left"/>
      </w:pPr>
      <w:r>
        <w:rPr>
          <w:rFonts w:ascii="Palatino Linotype" w:hAnsi="Palatino Linotype"/>
          <w:i w:val="0"/>
          <w:sz w:val="18"/>
        </w:rPr>
        <w:t>CSAI-2</w:t>
        <w:tab/>
        <w:t>Competitive State Anxiety Inventory-2</w:t>
      </w:r>
    </w:p>
    <w:p>
      <w:pPr>
        <w:tabs>
          <w:tab w:pos="3685" w:val="left"/>
        </w:tabs>
        <w:spacing w:before="0" w:after="0" w:lineRule="exact" w:line="220"/>
        <w:ind w:left="2381" w:firstLine="0"/>
        <w:jc w:val="left"/>
      </w:pPr>
      <w:r>
        <w:rPr>
          <w:rFonts w:ascii="Palatino Linotype" w:hAnsi="Palatino Linotype"/>
          <w:i w:val="0"/>
          <w:sz w:val="18"/>
        </w:rPr>
        <w:t>ECR</w:t>
        <w:tab/>
        <w:t>ensaio clínico randomizado</w:t>
      </w:r>
    </w:p>
    <w:p>
      <w:pPr>
        <w:tabs>
          <w:tab w:pos="3685" w:val="left"/>
        </w:tabs>
        <w:spacing w:before="0" w:after="0" w:lineRule="exact" w:line="220"/>
        <w:ind w:left="2381" w:firstLine="0"/>
        <w:jc w:val="left"/>
      </w:pPr>
      <w:r>
        <w:rPr>
          <w:rFonts w:ascii="Palatino Linotype" w:hAnsi="Palatino Linotype"/>
          <w:i w:val="0"/>
          <w:sz w:val="18"/>
        </w:rPr>
        <w:t>GRADE</w:t>
        <w:tab/>
        <w:t>Grading of Recommendations Assessment, Development and Evaluation</w:t>
      </w:r>
    </w:p>
    <w:p>
      <w:pPr>
        <w:tabs>
          <w:tab w:pos="3685" w:val="left"/>
        </w:tabs>
        <w:spacing w:before="0" w:after="0" w:lineRule="exact" w:line="220"/>
        <w:ind w:left="2381" w:firstLine="0"/>
        <w:jc w:val="left"/>
      </w:pPr>
      <w:r>
        <w:rPr>
          <w:rFonts w:ascii="Palatino Linotype" w:hAnsi="Palatino Linotype"/>
          <w:i w:val="0"/>
          <w:sz w:val="18"/>
        </w:rPr>
        <w:t>PECOS</w:t>
        <w:tab/>
        <w:t>participantes, exposição, comparação, desfecho e delineamento</w:t>
      </w:r>
    </w:p>
    <w:p>
      <w:pPr>
        <w:tabs>
          <w:tab w:pos="3685" w:val="left"/>
        </w:tabs>
        <w:spacing w:before="0" w:after="0" w:lineRule="exact" w:line="220"/>
        <w:ind w:left="2381" w:firstLine="0"/>
        <w:jc w:val="left"/>
      </w:pPr>
      <w:r>
        <w:rPr>
          <w:rFonts w:ascii="Palatino Linotype" w:hAnsi="Palatino Linotype"/>
          <w:i w:val="0"/>
          <w:sz w:val="18"/>
        </w:rPr>
        <w:t>POMS</w:t>
        <w:tab/>
        <w:t>Profile of Mood States</w:t>
      </w:r>
    </w:p>
    <w:p>
      <w:pPr>
        <w:tabs>
          <w:tab w:pos="3685" w:val="left"/>
        </w:tabs>
        <w:spacing w:before="0" w:after="0" w:lineRule="exact" w:line="220"/>
        <w:ind w:left="2381" w:firstLine="0"/>
        <w:jc w:val="left"/>
      </w:pPr>
      <w:r>
        <w:rPr>
          <w:rFonts w:ascii="Palatino Linotype" w:hAnsi="Palatino Linotype"/>
          <w:i w:val="0"/>
          <w:sz w:val="18"/>
        </w:rPr>
        <w:t>PRISMA-ScR</w:t>
        <w:tab/>
        <w:t>Preferred Reporting Items for Systematic Reviews and Meta-Analyses extension for Scoping Reviews</w:t>
      </w:r>
    </w:p>
    <w:p>
      <w:pPr>
        <w:tabs>
          <w:tab w:pos="3685" w:val="left"/>
        </w:tabs>
        <w:spacing w:before="0" w:after="0" w:lineRule="exact" w:line="220"/>
        <w:ind w:left="2381" w:firstLine="0"/>
        <w:jc w:val="left"/>
      </w:pPr>
      <w:r>
        <w:rPr>
          <w:rFonts w:ascii="Palatino Linotype" w:hAnsi="Palatino Linotype"/>
          <w:i w:val="0"/>
          <w:sz w:val="18"/>
        </w:rPr>
        <w:t>QE</w:t>
        <w:tab/>
        <w:t>quase-experimental</w:t>
      </w:r>
    </w:p>
    <w:p>
      <w:pPr>
        <w:tabs>
          <w:tab w:pos="3685" w:val="left"/>
        </w:tabs>
        <w:spacing w:before="0" w:after="0" w:lineRule="exact" w:line="220"/>
        <w:ind w:left="2381" w:firstLine="0"/>
        <w:jc w:val="left"/>
      </w:pPr>
      <w:r>
        <w:rPr>
          <w:rFonts w:ascii="Palatino Linotype" w:hAnsi="Palatino Linotype"/>
          <w:i w:val="0"/>
          <w:sz w:val="18"/>
        </w:rPr>
        <w:t>QP</w:t>
        <w:tab/>
        <w:t>questão de pesquisa</w:t>
      </w:r>
    </w:p>
    <w:p>
      <w:pPr>
        <w:tabs>
          <w:tab w:pos="3685" w:val="left"/>
        </w:tabs>
        <w:spacing w:before="0" w:after="0" w:lineRule="exact" w:line="220"/>
        <w:ind w:left="2381" w:firstLine="0"/>
        <w:jc w:val="left"/>
      </w:pPr>
      <w:r>
        <w:rPr>
          <w:rFonts w:ascii="Palatino Linotype" w:hAnsi="Palatino Linotype"/>
          <w:i w:val="0"/>
          <w:sz w:val="18"/>
        </w:rPr>
        <w:t>TIDieR</w:t>
        <w:tab/>
        <w:t>Template for Intervention Description and Replication</w:t>
      </w:r>
    </w:p>
    <w:p>
      <w:pPr>
        <w:tabs>
          <w:tab w:pos="3685" w:val="left"/>
        </w:tabs>
        <w:spacing w:before="0" w:after="0" w:lineRule="exact" w:line="220"/>
        <w:ind w:left="2381" w:firstLine="0"/>
        <w:jc w:val="left"/>
      </w:pPr>
      <w:r>
        <w:rPr>
          <w:rFonts w:ascii="Palatino Linotype" w:hAnsi="Palatino Linotype"/>
          <w:i w:val="0"/>
          <w:sz w:val="18"/>
        </w:rPr>
        <w:t>n.r.</w:t>
        <w:tab/>
        <w:t>não relatado</w:t>
      </w:r>
    </w:p>
    <w:p>
      <w:pPr>
        <w:tabs>
          <w:tab w:pos="3685" w:val="left"/>
        </w:tabs>
        <w:spacing w:before="0" w:after="0" w:lineRule="exact" w:line="220"/>
        <w:ind w:left="2381" w:firstLine="0"/>
        <w:jc w:val="left"/>
      </w:pPr>
      <w:r>
        <w:rPr>
          <w:rFonts w:ascii="Palatino Linotype" w:hAnsi="Palatino Linotype"/>
          <w:i w:val="0"/>
          <w:sz w:val="18"/>
        </w:rPr>
        <w:t>s.i.</w:t>
        <w:tab/>
        <w:t>sem informação</w:t>
      </w:r>
    </w:p>
    <w:p>
      <w:pPr>
        <w:keepNext/>
        <w:spacing w:before="200" w:after="80" w:lineRule="exact" w:line="300"/>
        <w:ind w:left="2381" w:firstLine="0"/>
        <w:jc w:val="left"/>
      </w:pPr>
      <w:r>
        <w:rPr>
          <w:rFonts w:ascii="Palatino Linotype" w:hAnsi="Palatino Linotype"/>
          <w:b/>
          <w:sz w:val="24"/>
        </w:rPr>
        <w:t>Referências</w:t>
      </w:r>
    </w:p>
    <w:p>
      <w:pPr>
        <w:spacing w:before="0" w:after="20" w:lineRule="exact" w:line="210"/>
        <w:ind w:left="340" w:hanging="340"/>
        <w:jc w:val="both"/>
      </w:pPr>
      <w:r>
        <w:rPr>
          <w:rFonts w:ascii="Palatino Linotype" w:hAnsi="Palatino Linotype"/>
          <w:i w:val="0"/>
          <w:sz w:val="18"/>
        </w:rPr>
        <w:t>1.</w:t>
        <w:tab/>
        <w:t xml:space="preserve">Reardon, C.L.; Hainline, B.; Aron, C.M.; Baron, D.; Baum, A.L.; Bindra, A.; Budgett, R.; Campriani, N.; Castaldelli-Maia, J.M.; Currie, A.; et al. Mental health in elite athletes: International Olympic Committee consensus statement (2019). </w:t>
      </w:r>
      <w:r>
        <w:rPr>
          <w:rFonts w:ascii="Palatino Linotype" w:hAnsi="Palatino Linotype"/>
          <w:i/>
          <w:sz w:val="18"/>
        </w:rPr>
        <w:t>Br J Sports Med</w:t>
      </w:r>
      <w:r>
        <w:rPr>
          <w:rFonts w:ascii="Palatino Linotype" w:hAnsi="Palatino Linotype"/>
          <w:i w:val="0"/>
          <w:sz w:val="18"/>
        </w:rPr>
        <w:t xml:space="preserve"> </w:t>
      </w:r>
      <w:r>
        <w:rPr>
          <w:rFonts w:ascii="Palatino Linotype" w:hAnsi="Palatino Linotype"/>
          <w:b/>
          <w:sz w:val="18"/>
        </w:rPr>
        <w:t>2019</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667–699. https://doi.org/10.1136/bjsports-2019-100715</w:t>
      </w:r>
    </w:p>
    <w:p>
      <w:pPr>
        <w:spacing w:before="0" w:after="20" w:lineRule="exact" w:line="210"/>
        <w:ind w:left="340" w:hanging="340"/>
        <w:jc w:val="both"/>
      </w:pPr>
      <w:r>
        <w:rPr>
          <w:rFonts w:ascii="Palatino Linotype" w:hAnsi="Palatino Linotype"/>
          <w:i w:val="0"/>
          <w:sz w:val="18"/>
        </w:rPr>
        <w:t>2.</w:t>
        <w:tab/>
        <w:t xml:space="preserve">Henriksen, K.; Schinke, R.; Moesch, K.; McCann, S.; Parham, W.D.; Larsen, C.H.; Terry, P.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 553–560. https://doi.org/10.1080/1612197X.2019.1570473</w:t>
      </w:r>
    </w:p>
    <w:p>
      <w:pPr>
        <w:spacing w:before="0" w:after="20" w:lineRule="exact" w:line="210"/>
        <w:ind w:left="340" w:hanging="340"/>
        <w:jc w:val="both"/>
      </w:pPr>
      <w:r>
        <w:rPr>
          <w:rFonts w:ascii="Palatino Linotype" w:hAnsi="Palatino Linotype"/>
          <w:i w:val="0"/>
          <w:sz w:val="18"/>
        </w:rPr>
        <w:t>3.</w:t>
        <w:tab/>
        <w:t xml:space="preserve">Gouttebarge, V.; Castaldelli-Maia, J.M.; Gorczynski, P.; Hainline, B.; Hitchcock, M.E.; Kerkhoffs, G.M.; Rice, S.M.; Reardon, C.L. Occurrence of mental health symptoms and disorders in current and former elite athletes: a systematic review and meta-analysis. </w:t>
      </w:r>
      <w:r>
        <w:rPr>
          <w:rFonts w:ascii="Palatino Linotype" w:hAnsi="Palatino Linotype"/>
          <w:i/>
          <w:sz w:val="18"/>
        </w:rPr>
        <w:t>Br J Sports Med</w:t>
      </w:r>
      <w:r>
        <w:rPr>
          <w:rFonts w:ascii="Palatino Linotype" w:hAnsi="Palatino Linotype"/>
          <w:i w:val="0"/>
          <w:sz w:val="18"/>
        </w:rPr>
        <w:t xml:space="preserve"> </w:t>
      </w:r>
      <w:r>
        <w:rPr>
          <w:rFonts w:ascii="Palatino Linotype" w:hAnsi="Palatino Linotype"/>
          <w:b/>
          <w:sz w:val="18"/>
        </w:rPr>
        <w:t>2019</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700–706. https://doi.org/10.1136/bjsports-2019-100671</w:t>
      </w:r>
    </w:p>
    <w:p>
      <w:pPr>
        <w:spacing w:before="0" w:after="20" w:lineRule="exact" w:line="210"/>
        <w:ind w:left="340" w:hanging="340"/>
        <w:jc w:val="both"/>
      </w:pPr>
      <w:r>
        <w:rPr>
          <w:rFonts w:ascii="Palatino Linotype" w:hAnsi="Palatino Linotype"/>
          <w:i w:val="0"/>
          <w:sz w:val="18"/>
        </w:rPr>
        <w:t>4.</w:t>
        <w:tab/>
        <w:t xml:space="preserve">Gouttebarge, V.; Bilgoe, S.C.; Gorczynski, P.; Hitchcock, M.E.; Putukian, M.; Reardon, C.L.; Kerkhoffs, G.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296. https://doi.org/10.3390/sports14070296</w:t>
      </w:r>
    </w:p>
    <w:p>
      <w:pPr>
        <w:spacing w:before="0" w:after="20" w:lineRule="exact" w:line="210"/>
        <w:ind w:left="340" w:hanging="340"/>
        <w:jc w:val="both"/>
      </w:pPr>
      <w:r>
        <w:rPr>
          <w:rFonts w:ascii="Palatino Linotype" w:hAnsi="Palatino Linotype"/>
          <w:i w:val="0"/>
          <w:sz w:val="18"/>
        </w:rPr>
        <w:t>5.</w:t>
        <w:tab/>
        <w:t xml:space="preserve">Póvoas, S.C.; Seabra, A.F.; Ascensão, A.A.; Magalhães, J.; Soares, J.M.; Rebelo, A.N.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b/>
          <w:sz w:val="18"/>
        </w:rPr>
        <w:t>2012</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 3365–3375. https://doi.org/10.1519/jsc.0b013e318248aeee</w:t>
      </w:r>
    </w:p>
    <w:p>
      <w:pPr>
        <w:spacing w:before="0" w:after="20" w:lineRule="exact" w:line="210"/>
        <w:ind w:left="340" w:hanging="340"/>
        <w:jc w:val="both"/>
      </w:pPr>
      <w:r>
        <w:rPr>
          <w:rFonts w:ascii="Palatino Linotype" w:hAnsi="Palatino Linotype"/>
          <w:i w:val="0"/>
          <w:sz w:val="18"/>
        </w:rPr>
        <w:t>6.</w:t>
        <w:tab/>
        <w:t xml:space="preserve">Michalsik, L.; Aagaard, P.; Madsen, K. Locomotion Characteristics and Match-Induced Impairments in Physical Performance in Male Elite Team Handball Players. </w:t>
      </w:r>
      <w:r>
        <w:rPr>
          <w:rFonts w:ascii="Palatino Linotype" w:hAnsi="Palatino Linotype"/>
          <w:i/>
          <w:sz w:val="18"/>
        </w:rPr>
        <w:t>Int J Sports Med</w:t>
      </w:r>
      <w:r>
        <w:rPr>
          <w:rFonts w:ascii="Palatino Linotype" w:hAnsi="Palatino Linotype"/>
          <w:i w:val="0"/>
          <w:sz w:val="18"/>
        </w:rPr>
        <w:t xml:space="preserve"> </w:t>
      </w:r>
      <w:r>
        <w:rPr>
          <w:rFonts w:ascii="Palatino Linotype" w:hAnsi="Palatino Linotype"/>
          <w:b/>
          <w:sz w:val="18"/>
        </w:rPr>
        <w:t>2012</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 590–599. https://doi.org/10.1055/s-0032-1329989</w:t>
      </w:r>
    </w:p>
    <w:p>
      <w:pPr>
        <w:spacing w:before="0" w:after="20" w:lineRule="exact" w:line="210"/>
        <w:ind w:left="340" w:hanging="340"/>
        <w:jc w:val="both"/>
      </w:pPr>
      <w:r>
        <w:rPr>
          <w:rFonts w:ascii="Palatino Linotype" w:hAnsi="Palatino Linotype"/>
          <w:i w:val="0"/>
          <w:sz w:val="18"/>
        </w:rPr>
        <w:t>7.</w:t>
        <w:tab/>
        <w:t xml:space="preserve">Guignard, B.; Karcher, C.; Reche, X.; Font, R.; Komar, J.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 5692. https://doi.org/10.3390/s22155692</w:t>
      </w:r>
    </w:p>
    <w:p>
      <w:pPr>
        <w:spacing w:before="0" w:after="20" w:lineRule="exact" w:line="210"/>
        <w:ind w:left="340" w:hanging="340"/>
        <w:jc w:val="both"/>
      </w:pPr>
      <w:r>
        <w:rPr>
          <w:rFonts w:ascii="Palatino Linotype" w:hAnsi="Palatino Linotype"/>
          <w:i w:val="0"/>
          <w:sz w:val="18"/>
        </w:rPr>
        <w:t>8.</w:t>
        <w:tab/>
        <w:t xml:space="preserve">Fleureau, A.; Rabita, G.; Leduc, C.; Buchheit, M.; Lacome, M.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 432–438. https://doi.org/10.1519/jsc.0000000000004247</w:t>
      </w:r>
    </w:p>
    <w:p>
      <w:pPr>
        <w:spacing w:before="0" w:after="20" w:lineRule="exact" w:line="210"/>
        <w:ind w:left="340" w:hanging="340"/>
        <w:jc w:val="both"/>
      </w:pPr>
      <w:r>
        <w:rPr>
          <w:rFonts w:ascii="Palatino Linotype" w:hAnsi="Palatino Linotype"/>
          <w:i w:val="0"/>
          <w:sz w:val="18"/>
        </w:rPr>
        <w:t>9.</w:t>
        <w:tab/>
        <w:t xml:space="preserve">Saal, C.; Rheinsberg, P.; Baumgart, C.; Brochhagen, J.; Hoppe, M.W. How different defensive formations affect physical match demands in the German Handball-Bundesliga: a comparison of the attacking and defending team.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20" w:lineRule="exact" w:line="210"/>
        <w:ind w:left="340" w:hanging="340"/>
        <w:jc w:val="both"/>
      </w:pPr>
      <w:r>
        <w:rPr>
          <w:rFonts w:ascii="Palatino Linotype" w:hAnsi="Palatino Linotype"/>
          <w:i w:val="0"/>
          <w:sz w:val="18"/>
        </w:rPr>
        <w:t>10.</w:t>
        <w:tab/>
        <w:t xml:space="preserve">Wagner, H.; Radic, V.; Hinz, M. Differences in game-based performance by playing position in young elite male team handball players.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20" w:lineRule="exact" w:line="210"/>
        <w:ind w:left="340" w:hanging="340"/>
        <w:jc w:val="both"/>
      </w:pPr>
      <w:r>
        <w:rPr>
          <w:rFonts w:ascii="Palatino Linotype" w:hAnsi="Palatino Linotype"/>
          <w:i w:val="0"/>
          <w:sz w:val="18"/>
        </w:rPr>
        <w:t>11.</w:t>
        <w:tab/>
        <w:t xml:space="preserve">Gümüş, H.; Gençoğlu, C.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 113–121. https://doi.org/10.5507/ag.2020.015</w:t>
      </w:r>
    </w:p>
    <w:p>
      <w:pPr>
        <w:spacing w:before="0" w:after="20" w:lineRule="exact" w:line="210"/>
        <w:ind w:left="340" w:hanging="340"/>
        <w:jc w:val="both"/>
      </w:pPr>
      <w:r>
        <w:rPr>
          <w:rFonts w:ascii="Palatino Linotype" w:hAnsi="Palatino Linotype"/>
          <w:i w:val="0"/>
          <w:sz w:val="18"/>
        </w:rPr>
        <w:t>12.</w:t>
        <w:tab/>
        <w:t xml:space="preserve">Macedo, L.; Volossovitch, A.; Carita, A.I.; Komar, J.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 1189–1207. https://doi.org/10.1080/24748668.2024.2354109</w:t>
      </w:r>
    </w:p>
    <w:p>
      <w:pPr>
        <w:spacing w:before="0" w:after="20" w:lineRule="exact" w:line="210"/>
        <w:ind w:left="340" w:hanging="340"/>
        <w:jc w:val="both"/>
      </w:pPr>
      <w:r>
        <w:rPr>
          <w:rFonts w:ascii="Palatino Linotype" w:hAnsi="Palatino Linotype"/>
          <w:i w:val="0"/>
          <w:sz w:val="18"/>
        </w:rPr>
        <w:t>13.</w:t>
        <w:tab/>
        <w:t xml:space="preserve">Bonjour, C.; Tortajada, D.A.; Dol, G.; Gonzalez, A.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20" w:lineRule="exact" w:line="210"/>
        <w:ind w:left="340" w:hanging="340"/>
        <w:jc w:val="both"/>
      </w:pPr>
      <w:r>
        <w:rPr>
          <w:rFonts w:ascii="Palatino Linotype" w:hAnsi="Palatino Linotype"/>
          <w:i w:val="0"/>
          <w:sz w:val="18"/>
        </w:rPr>
        <w:t>14.</w:t>
        <w:tab/>
        <w:t xml:space="preserve">Trejo-Silva, A.; Camacho-Cardenosa, A.; Camacho-Cardenosa, M.; González-Ramirez, A.; Brazo-Sayavera, J.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Rev. int. cienc. deporte</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396–409. https://doi.org/10.5232/ricyde2020.06205</w:t>
      </w:r>
    </w:p>
    <w:p>
      <w:pPr>
        <w:spacing w:before="0" w:after="20" w:lineRule="exact" w:line="210"/>
        <w:ind w:left="340" w:hanging="340"/>
        <w:jc w:val="both"/>
      </w:pPr>
      <w:r>
        <w:rPr>
          <w:rFonts w:ascii="Palatino Linotype" w:hAnsi="Palatino Linotype"/>
          <w:i w:val="0"/>
          <w:sz w:val="18"/>
        </w:rPr>
        <w:t>15.</w:t>
        <w:tab/>
        <w:t xml:space="preserve">Trejo-Silva, A.; Gomez-Ruano, M.A.; Parmar, N.; Brazo-Sayavera, J. Attacking performance analysis during 2-minute suspensions in female handball games at the Rio 2016 Olympic Games. </w:t>
      </w:r>
      <w:r>
        <w:rPr>
          <w:rFonts w:ascii="Palatino Linotype" w:hAnsi="Palatino Linotype"/>
          <w:i/>
          <w:sz w:val="18"/>
        </w:rPr>
        <w:t>Kinesiology (Zagreb, Online)</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 3–14. https://doi.org/10.26582/k.57.1.1</w:t>
      </w:r>
    </w:p>
    <w:p>
      <w:pPr>
        <w:spacing w:before="0" w:after="20" w:lineRule="exact" w:line="210"/>
        <w:ind w:left="340" w:hanging="340"/>
        <w:jc w:val="both"/>
      </w:pPr>
      <w:r>
        <w:rPr>
          <w:rFonts w:ascii="Palatino Linotype" w:hAnsi="Palatino Linotype"/>
          <w:i w:val="0"/>
          <w:sz w:val="18"/>
        </w:rPr>
        <w:t>16.</w:t>
        <w:tab/>
        <w:t xml:space="preserve">Jetzke, M.; Winter, C.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878–885. https://doi.org/10.1080/02640414.2021.2022860</w:t>
      </w:r>
    </w:p>
    <w:p>
      <w:pPr>
        <w:spacing w:before="0" w:after="20" w:lineRule="exact" w:line="210"/>
        <w:ind w:left="340" w:hanging="340"/>
        <w:jc w:val="both"/>
      </w:pPr>
      <w:r>
        <w:rPr>
          <w:rFonts w:ascii="Palatino Linotype" w:hAnsi="Palatino Linotype"/>
          <w:i w:val="0"/>
          <w:sz w:val="18"/>
        </w:rPr>
        <w:t>17.</w:t>
        <w:tab/>
        <w:t xml:space="preserve">Johnson, J.G.; Raab, M.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b/>
          <w:sz w:val="18"/>
        </w:rPr>
        <w:t>2003</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 215–229. https://doi.org/10.1016/s0749-5978(03)00027-x</w:t>
      </w:r>
    </w:p>
    <w:p>
      <w:pPr>
        <w:spacing w:before="0" w:after="20" w:lineRule="exact" w:line="210"/>
        <w:ind w:left="340" w:hanging="340"/>
        <w:jc w:val="both"/>
      </w:pPr>
      <w:r>
        <w:rPr>
          <w:rFonts w:ascii="Palatino Linotype" w:hAnsi="Palatino Linotype"/>
          <w:i w:val="0"/>
          <w:sz w:val="18"/>
        </w:rPr>
        <w:t>18.</w:t>
        <w:tab/>
        <w:t xml:space="preserve">Raab, M.; Johnson, J.G.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b/>
          <w:sz w:val="18"/>
        </w:rPr>
        <w:t>2007</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158–170. https://doi.org/10.1037/1076-898x.13.3.158</w:t>
      </w:r>
    </w:p>
    <w:p>
      <w:pPr>
        <w:spacing w:before="0" w:after="20" w:lineRule="exact" w:line="210"/>
        <w:ind w:left="340" w:hanging="340"/>
        <w:jc w:val="both"/>
      </w:pPr>
      <w:r>
        <w:rPr>
          <w:rFonts w:ascii="Palatino Linotype" w:hAnsi="Palatino Linotype"/>
          <w:i w:val="0"/>
          <w:sz w:val="18"/>
        </w:rPr>
        <w:t>19.</w:t>
        <w:tab/>
        <w:t xml:space="preserve">Hinz, M.; Lehmann, N.; Aye, N.; Melcher, K.; Tolentino-Castro, J.W.; Wagner, H.; Taubert, M. Differences in Decision-Making Behavior Between Elite and Amateur Team-Handball Players in a Near-Game Test Situation.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20" w:lineRule="exact" w:line="210"/>
        <w:ind w:left="340" w:hanging="340"/>
        <w:jc w:val="both"/>
      </w:pPr>
      <w:r>
        <w:rPr>
          <w:rFonts w:ascii="Palatino Linotype" w:hAnsi="Palatino Linotype"/>
          <w:i w:val="0"/>
          <w:sz w:val="18"/>
        </w:rPr>
        <w:t>20.</w:t>
        <w:tab/>
        <w:t xml:space="preserve">Nicolosi, S.; Quinto, A.; Lipoma, M.; Sgrò, F.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8920. https://doi.org/10.3390/app13158920</w:t>
      </w:r>
    </w:p>
    <w:p>
      <w:pPr>
        <w:spacing w:before="0" w:after="20" w:lineRule="exact" w:line="210"/>
        <w:ind w:left="340" w:hanging="340"/>
        <w:jc w:val="both"/>
      </w:pPr>
      <w:r>
        <w:rPr>
          <w:rFonts w:ascii="Palatino Linotype" w:hAnsi="Palatino Linotype"/>
          <w:i w:val="0"/>
          <w:sz w:val="18"/>
        </w:rPr>
        <w:t>21.</w:t>
        <w:tab/>
        <w:t xml:space="preserve">Biscaia, P.; Coelho, E.; João, P.V.; Monteiro, D.; Hernandez-Mendo, A.; Alves, J. Which cognitive and perceptual skills best discriminate elite female handball players. </w:t>
      </w:r>
      <w:r>
        <w:rPr>
          <w:rFonts w:ascii="Palatino Linotype" w:hAnsi="Palatino Linotype"/>
          <w:i/>
          <w:sz w:val="18"/>
        </w:rPr>
        <w:t>Kinesiology (Zagreb, Online)</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104–112. https://doi.org/10.26582/k.53.1.13</w:t>
      </w:r>
    </w:p>
    <w:p>
      <w:pPr>
        <w:spacing w:before="0" w:after="20" w:lineRule="exact" w:line="210"/>
        <w:ind w:left="340" w:hanging="340"/>
        <w:jc w:val="both"/>
      </w:pPr>
      <w:r>
        <w:rPr>
          <w:rFonts w:ascii="Palatino Linotype" w:hAnsi="Palatino Linotype"/>
          <w:i w:val="0"/>
          <w:sz w:val="18"/>
        </w:rPr>
        <w:t>22.</w:t>
        <w:tab/>
        <w:t xml:space="preserve">Styrkowiec, P.; Czyż, S.H.; Hyönä, J.; Li, J.; Oksama, L.; Raś, M. Gaze Behavior and Cognitive Performance on Tasks of Multiple Object Tracking and Multiple Identity Tracking by Handball Players and Non-Athletes. </w:t>
      </w:r>
      <w:r>
        <w:rPr>
          <w:rFonts w:ascii="Palatino Linotype" w:hAnsi="Palatino Linotype"/>
          <w:i/>
          <w:sz w:val="18"/>
        </w:rPr>
        <w:t>Percept Mot Skills</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 818–842. https://doi.org/10.1177/00315125241235529</w:t>
      </w:r>
    </w:p>
    <w:p>
      <w:pPr>
        <w:spacing w:before="0" w:after="20" w:lineRule="exact" w:line="210"/>
        <w:ind w:left="340" w:hanging="340"/>
        <w:jc w:val="both"/>
      </w:pPr>
      <w:r>
        <w:rPr>
          <w:rFonts w:ascii="Palatino Linotype" w:hAnsi="Palatino Linotype"/>
          <w:i w:val="0"/>
          <w:sz w:val="18"/>
        </w:rPr>
        <w:t>23.</w:t>
        <w:tab/>
        <w:t xml:space="preserve">Vogel, L.; Schack, T.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 e0284941. https://doi.org/10.1371/journal.pone.0284941</w:t>
      </w:r>
    </w:p>
    <w:p>
      <w:pPr>
        <w:spacing w:before="0" w:after="20" w:lineRule="exact" w:line="210"/>
        <w:ind w:left="340" w:hanging="340"/>
        <w:jc w:val="both"/>
      </w:pPr>
      <w:r>
        <w:rPr>
          <w:rFonts w:ascii="Palatino Linotype" w:hAnsi="Palatino Linotype"/>
          <w:i w:val="0"/>
          <w:sz w:val="18"/>
        </w:rPr>
        <w:t>24.</w:t>
        <w:tab/>
        <w:t xml:space="preserve">Loffing, F.; Hagemann, N.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b/>
          <w:sz w:val="18"/>
        </w:rPr>
        <w:t>2014</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260–267. https://doi.org/10.1016/j.psychsport.2014.01.006</w:t>
      </w:r>
    </w:p>
    <w:p>
      <w:pPr>
        <w:spacing w:before="0" w:after="20" w:lineRule="exact" w:line="210"/>
        <w:ind w:left="340" w:hanging="340"/>
        <w:jc w:val="both"/>
      </w:pPr>
      <w:r>
        <w:rPr>
          <w:rFonts w:ascii="Palatino Linotype" w:hAnsi="Palatino Linotype"/>
          <w:i w:val="0"/>
          <w:sz w:val="18"/>
        </w:rPr>
        <w:t>25.</w:t>
        <w:tab/>
        <w:t xml:space="preserve">Cocić, D.; Vaci, N.; Prieger, R.; Bilalić, M.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483–498. https://doi.org/10.1080/00222895.2020.1802216</w:t>
      </w:r>
    </w:p>
    <w:p>
      <w:pPr>
        <w:spacing w:before="0" w:after="20" w:lineRule="exact" w:line="210"/>
        <w:ind w:left="340" w:hanging="340"/>
        <w:jc w:val="both"/>
      </w:pPr>
      <w:r>
        <w:rPr>
          <w:rFonts w:ascii="Palatino Linotype" w:hAnsi="Palatino Linotype"/>
          <w:i w:val="0"/>
          <w:sz w:val="18"/>
        </w:rPr>
        <w:t>26.</w:t>
        <w:tab/>
        <w:t xml:space="preserve">Jedziniak, W.; Panek, K.; Lesiakowski, P.; Florkiewicz, B.; Zwierko, T.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312. https://doi.org/10.3390/brainsci15030312</w:t>
      </w:r>
    </w:p>
    <w:p>
      <w:pPr>
        <w:spacing w:before="0" w:after="20" w:lineRule="exact" w:line="210"/>
        <w:ind w:left="340" w:hanging="340"/>
        <w:jc w:val="both"/>
      </w:pPr>
      <w:r>
        <w:rPr>
          <w:rFonts w:ascii="Palatino Linotype" w:hAnsi="Palatino Linotype"/>
          <w:i w:val="0"/>
          <w:sz w:val="18"/>
        </w:rPr>
        <w:t>27.</w:t>
        <w:tab/>
        <w:t xml:space="preserve">Menn, M.L.; Bossard, C.; Travassos, B.; Duarte, R.; Kermarrec, G.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b/>
          <w:sz w:val="18"/>
        </w:rPr>
        <w:t>2019</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 297–308. https://doi.org/10.2478/hukin-2019-0042</w:t>
      </w:r>
    </w:p>
    <w:p>
      <w:pPr>
        <w:spacing w:before="0" w:after="20" w:lineRule="exact" w:line="210"/>
        <w:ind w:left="340" w:hanging="340"/>
        <w:jc w:val="both"/>
      </w:pPr>
      <w:r>
        <w:rPr>
          <w:rFonts w:ascii="Palatino Linotype" w:hAnsi="Palatino Linotype"/>
          <w:i w:val="0"/>
          <w:sz w:val="18"/>
        </w:rPr>
        <w:t>28.</w:t>
        <w:tab/>
        <w:t xml:space="preserve">Weinberg, H.; Müller, F.; Cañal-Bruland, R. Context modulates evidence accumulation in split-second handball penalty decisions. </w:t>
      </w:r>
      <w:r>
        <w:rPr>
          <w:rFonts w:ascii="Palatino Linotype" w:hAnsi="Palatino Linotype"/>
          <w:i/>
          <w:sz w:val="18"/>
        </w:rPr>
        <w:t>Cogn. Research</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 2. https://doi.org/10.1186/s41235-025-00615-8</w:t>
      </w:r>
    </w:p>
    <w:p>
      <w:pPr>
        <w:spacing w:before="0" w:after="20" w:lineRule="exact" w:line="210"/>
        <w:ind w:left="340" w:hanging="340"/>
        <w:jc w:val="both"/>
      </w:pPr>
      <w:r>
        <w:rPr>
          <w:rFonts w:ascii="Palatino Linotype" w:hAnsi="Palatino Linotype"/>
          <w:i w:val="0"/>
          <w:sz w:val="18"/>
        </w:rPr>
        <w:t>29.</w:t>
        <w:tab/>
        <w:t xml:space="preserve">Kim, J.; Yook, D.; Han, S.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128. https://doi.org/10.3390/sports14040128</w:t>
      </w:r>
    </w:p>
    <w:p>
      <w:pPr>
        <w:spacing w:before="0" w:after="20" w:lineRule="exact" w:line="210"/>
        <w:ind w:left="340" w:hanging="340"/>
        <w:jc w:val="both"/>
      </w:pPr>
      <w:r>
        <w:rPr>
          <w:rFonts w:ascii="Palatino Linotype" w:hAnsi="Palatino Linotype"/>
          <w:i w:val="0"/>
          <w:sz w:val="18"/>
        </w:rPr>
        <w:t>30.</w:t>
        <w:tab/>
        <w:t xml:space="preserve">Drole, K.; Doupona, M.; Steffen, K.; Jerin, A.; Paravlic, A. Associations between subjective and objective measures of stress and load: an insight from 45-week prospective study in 189 elite athletes.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20" w:lineRule="exact" w:line="210"/>
        <w:ind w:left="340" w:hanging="340"/>
        <w:jc w:val="both"/>
      </w:pPr>
      <w:r>
        <w:rPr>
          <w:rFonts w:ascii="Palatino Linotype" w:hAnsi="Palatino Linotype"/>
          <w:i w:val="0"/>
          <w:sz w:val="18"/>
        </w:rPr>
        <w:t>31.</w:t>
        <w:tab/>
        <w:t xml:space="preserve">Lara-Cobos, D.; Puigarnau, S.; Sánchez, J.A. Percepción de la fatiga y bienestar en jugadoras internacionales de balonmano playa en competición oficial. </w:t>
      </w:r>
      <w:r>
        <w:rPr>
          <w:rFonts w:ascii="Palatino Linotype" w:hAnsi="Palatino Linotype"/>
          <w:i/>
          <w:sz w:val="18"/>
        </w:rPr>
        <w:t>ebm.jss</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 263–270. https://doi.org/10.17398/1885-7019.20.263</w:t>
      </w:r>
    </w:p>
    <w:p>
      <w:pPr>
        <w:spacing w:before="0" w:after="20" w:lineRule="exact" w:line="210"/>
        <w:ind w:left="340" w:hanging="340"/>
        <w:jc w:val="both"/>
      </w:pPr>
      <w:r>
        <w:rPr>
          <w:rFonts w:ascii="Palatino Linotype" w:hAnsi="Palatino Linotype"/>
          <w:i w:val="0"/>
          <w:sz w:val="18"/>
        </w:rPr>
        <w:t>32.</w:t>
        <w:tab/>
        <w:t xml:space="preserve">Henze, A.S.; Matits, L.; Schwenkreis, F.; Sieger, D.; Degenhardt, H.; Neumann, M.; Schulz, S.V.W.; Kirsten, J.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 384–391. https://doi.org/10.1123/ijspp.2025-0341</w:t>
      </w:r>
    </w:p>
    <w:p>
      <w:pPr>
        <w:spacing w:before="0" w:after="20" w:lineRule="exact" w:line="210"/>
        <w:ind w:left="340" w:hanging="340"/>
        <w:jc w:val="both"/>
      </w:pPr>
      <w:r>
        <w:rPr>
          <w:rFonts w:ascii="Palatino Linotype" w:hAnsi="Palatino Linotype"/>
          <w:i w:val="0"/>
          <w:sz w:val="18"/>
        </w:rPr>
        <w:t>33.</w:t>
        <w:tab/>
        <w:t xml:space="preserve">Greblo Jurakić, Z.; Bojić-Ćaćić, L.; Ljubičić, V. The relationship between perceived motivational climate and psychological well-being among adolescent handball players.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20" w:lineRule="exact" w:line="210"/>
        <w:ind w:left="340" w:hanging="340"/>
        <w:jc w:val="both"/>
      </w:pPr>
      <w:r>
        <w:rPr>
          <w:rFonts w:ascii="Palatino Linotype" w:hAnsi="Palatino Linotype"/>
          <w:i w:val="0"/>
          <w:sz w:val="18"/>
        </w:rPr>
        <w:t>34.</w:t>
        <w:tab/>
        <w:t xml:space="preserve">Wolf, S.A.; Utesch, K.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20" w:lineRule="exact" w:line="210"/>
        <w:ind w:left="340" w:hanging="340"/>
        <w:jc w:val="both"/>
      </w:pPr>
      <w:r>
        <w:rPr>
          <w:rFonts w:ascii="Palatino Linotype" w:hAnsi="Palatino Linotype"/>
          <w:i w:val="0"/>
          <w:sz w:val="18"/>
        </w:rPr>
        <w:t>35.</w:t>
        <w:tab/>
        <w:t xml:space="preserve">Bühren, C.; Gabriel, M.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185–203. https://doi.org/10.1515/jqas-2022-0070</w:t>
      </w:r>
    </w:p>
    <w:p>
      <w:pPr>
        <w:spacing w:before="0" w:after="20" w:lineRule="exact" w:line="210"/>
        <w:ind w:left="340" w:hanging="340"/>
        <w:jc w:val="both"/>
      </w:pPr>
      <w:r>
        <w:rPr>
          <w:rFonts w:ascii="Palatino Linotype" w:hAnsi="Palatino Linotype"/>
          <w:i w:val="0"/>
          <w:sz w:val="18"/>
        </w:rPr>
        <w:t>36.</w:t>
        <w:tab/>
        <w:t xml:space="preserve">Martiny, L.; Dias, G.; Ferreira, J.P.; Mendes, R.; Mendes, R.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160. https://doi.org/10.3390/sports12060160</w:t>
      </w:r>
    </w:p>
    <w:p>
      <w:pPr>
        <w:spacing w:before="0" w:after="20" w:lineRule="exact" w:line="210"/>
        <w:ind w:left="340" w:hanging="340"/>
        <w:jc w:val="both"/>
      </w:pPr>
      <w:r>
        <w:rPr>
          <w:rFonts w:ascii="Palatino Linotype" w:hAnsi="Palatino Linotype"/>
          <w:i w:val="0"/>
          <w:sz w:val="18"/>
        </w:rPr>
        <w:t>37.</w:t>
        <w:tab/>
        <w:t xml:space="preserve">Staiano, W.; Sternberg, L.M.; Ferri-Caruana, A.; Salazar-Bonet, L.R.; Romagnoli, M.; Henriksen, K.; Kirk, U.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 91–99. https://doi.org/10.1016/j.jsams.2025.08.004</w:t>
      </w:r>
    </w:p>
    <w:p>
      <w:pPr>
        <w:spacing w:before="0" w:after="20" w:lineRule="exact" w:line="210"/>
        <w:ind w:left="340" w:hanging="340"/>
        <w:jc w:val="both"/>
      </w:pPr>
      <w:r>
        <w:rPr>
          <w:rFonts w:ascii="Palatino Linotype" w:hAnsi="Palatino Linotype"/>
          <w:i w:val="0"/>
          <w:sz w:val="18"/>
        </w:rPr>
        <w:t>38.</w:t>
        <w:tab/>
        <w:t xml:space="preserve">Norouzi, E.; Hamboushi, L.; Ahmadi, A.; Rhodes, J.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 20250009. https://doi.org/10.1515/jirspa-2025-0009</w:t>
      </w:r>
    </w:p>
    <w:p>
      <w:pPr>
        <w:spacing w:before="0" w:after="20" w:lineRule="exact" w:line="210"/>
        <w:ind w:left="340" w:hanging="340"/>
        <w:jc w:val="both"/>
      </w:pPr>
      <w:r>
        <w:rPr>
          <w:rFonts w:ascii="Palatino Linotype" w:hAnsi="Palatino Linotype"/>
          <w:i w:val="0"/>
          <w:sz w:val="18"/>
        </w:rPr>
        <w:t>39.</w:t>
        <w:tab/>
        <w:t xml:space="preserve">Upadhyay, K.; Phulkar, A.; Yadav, S.; Sharma, A.; Terang, V. Enhancing Skill Performing Competency among Handball Players: Comparative Effects of Mental Imagery, Self-Talk, and Their Combination. </w:t>
      </w:r>
      <w:r>
        <w:rPr>
          <w:rFonts w:ascii="Palatino Linotype" w:hAnsi="Palatino Linotype"/>
          <w:i/>
          <w:sz w:val="18"/>
        </w:rPr>
        <w:t>Teor. metod. fiz. vihov.</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 1371–1377. https://doi.org/10.17309/tmfv.2025.6.07</w:t>
      </w:r>
    </w:p>
    <w:p>
      <w:pPr>
        <w:spacing w:before="0" w:after="20" w:lineRule="exact" w:line="210"/>
        <w:ind w:left="340" w:hanging="340"/>
        <w:jc w:val="both"/>
      </w:pPr>
      <w:r>
        <w:rPr>
          <w:rFonts w:ascii="Palatino Linotype" w:hAnsi="Palatino Linotype"/>
          <w:i w:val="0"/>
          <w:sz w:val="18"/>
        </w:rPr>
        <w:t>40.</w:t>
        <w:tab/>
        <w:t xml:space="preserve">Yüksel, S.; Debener, S.; Schmidt, B. Collective Super Power: A Season-Long Study of Hypnosis to Enhance Confidence and Reduce Pre-competition Anxiety and Stress in Two Handball Teams. </w:t>
      </w:r>
      <w:r>
        <w:rPr>
          <w:rFonts w:ascii="Palatino Linotype" w:hAnsi="Palatino Linotype"/>
          <w:b/>
          <w:sz w:val="18"/>
        </w:rPr>
        <w:t xml:space="preserve"> </w:t>
      </w:r>
      <w:r>
        <w:rPr>
          <w:rFonts w:ascii="Palatino Linotype" w:hAnsi="Palatino Linotype"/>
          <w:i w:val="0"/>
          <w:sz w:val="18"/>
        </w:rPr>
        <w:t>2025**. https://doi.org/10.20944/preprints202511.0158.v1</w:t>
      </w:r>
    </w:p>
    <w:p>
      <w:pPr>
        <w:spacing w:before="0" w:after="20" w:lineRule="exact" w:line="210"/>
        <w:ind w:left="340" w:hanging="340"/>
        <w:jc w:val="both"/>
      </w:pPr>
      <w:r>
        <w:rPr>
          <w:rFonts w:ascii="Palatino Linotype" w:hAnsi="Palatino Linotype"/>
          <w:i w:val="0"/>
          <w:sz w:val="18"/>
        </w:rPr>
        <w:t>41.</w:t>
        <w:tab/>
        <w:t xml:space="preserve">Saavedra, J.M.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 5–8. https://doi.org/10.2478/hukin-2018-0001</w:t>
      </w:r>
    </w:p>
    <w:p>
      <w:pPr>
        <w:spacing w:before="0" w:after="20" w:lineRule="exact" w:line="210"/>
        <w:ind w:left="340" w:hanging="340"/>
        <w:jc w:val="both"/>
      </w:pPr>
      <w:r>
        <w:rPr>
          <w:rFonts w:ascii="Palatino Linotype" w:hAnsi="Palatino Linotype"/>
          <w:i w:val="0"/>
          <w:sz w:val="18"/>
        </w:rPr>
        <w:t>42.</w:t>
        <w:tab/>
        <w:t xml:space="preserve">Prieto, J.; Gómez, M.Á.; Sampaio, J. A bibliometric review of the scientific production in handball. </w:t>
      </w:r>
      <w:r>
        <w:rPr>
          <w:rFonts w:ascii="Palatino Linotype" w:hAnsi="Palatino Linotype"/>
          <w:i/>
          <w:sz w:val="18"/>
        </w:rPr>
        <w:t>CPD</w:t>
      </w:r>
      <w:r>
        <w:rPr>
          <w:rFonts w:ascii="Palatino Linotype" w:hAnsi="Palatino Linotype"/>
          <w:i w:val="0"/>
          <w:sz w:val="18"/>
        </w:rPr>
        <w:t xml:space="preserve"> </w:t>
      </w:r>
      <w:r>
        <w:rPr>
          <w:rFonts w:ascii="Palatino Linotype" w:hAnsi="Palatino Linotype"/>
          <w:b/>
          <w:sz w:val="18"/>
        </w:rPr>
        <w:t>2015</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145–154. https://doi.org/10.4321/s1578-84232015000300014</w:t>
      </w:r>
    </w:p>
    <w:p>
      <w:pPr>
        <w:spacing w:before="0" w:after="20" w:lineRule="exact" w:line="210"/>
        <w:ind w:left="340" w:hanging="340"/>
        <w:jc w:val="both"/>
      </w:pPr>
      <w:r>
        <w:rPr>
          <w:rFonts w:ascii="Palatino Linotype" w:hAnsi="Palatino Linotype"/>
          <w:i w:val="0"/>
          <w:sz w:val="18"/>
        </w:rPr>
        <w:t>43.</w:t>
        <w:tab/>
        <w:t xml:space="preserve">Flake, J.K.; Fried, E.I.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 456–465. https://doi.org/10.1177/2515245920952393</w:t>
      </w:r>
    </w:p>
    <w:p>
      <w:pPr>
        <w:spacing w:before="0" w:after="20" w:lineRule="exact" w:line="210"/>
        <w:ind w:left="340" w:hanging="340"/>
        <w:jc w:val="both"/>
      </w:pPr>
      <w:r>
        <w:rPr>
          <w:rFonts w:ascii="Palatino Linotype" w:hAnsi="Palatino Linotype"/>
          <w:i w:val="0"/>
          <w:sz w:val="18"/>
        </w:rPr>
        <w:t>44.</w:t>
        <w:tab/>
        <w:t xml:space="preserve">Brown, D.J.; Fletcher, D. Effects of Psychological and Psychosocial Interventions on Sport Performance: A Meta-Analysis. </w:t>
      </w:r>
      <w:r>
        <w:rPr>
          <w:rFonts w:ascii="Palatino Linotype" w:hAnsi="Palatino Linotype"/>
          <w:i/>
          <w:sz w:val="18"/>
        </w:rPr>
        <w:t>Sports Med</w:t>
      </w:r>
      <w:r>
        <w:rPr>
          <w:rFonts w:ascii="Palatino Linotype" w:hAnsi="Palatino Linotype"/>
          <w:i w:val="0"/>
          <w:sz w:val="18"/>
        </w:rPr>
        <w:t xml:space="preserve"> </w:t>
      </w:r>
      <w:r>
        <w:rPr>
          <w:rFonts w:ascii="Palatino Linotype" w:hAnsi="Palatino Linotype"/>
          <w:b/>
          <w:sz w:val="18"/>
        </w:rPr>
        <w:t>2017</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 77–99. https://doi.org/10.1007/s40279-016-0552-7</w:t>
      </w:r>
    </w:p>
    <w:p>
      <w:pPr>
        <w:spacing w:before="0" w:after="20" w:lineRule="exact" w:line="210"/>
        <w:ind w:left="340" w:hanging="340"/>
        <w:jc w:val="both"/>
      </w:pPr>
      <w:r>
        <w:rPr>
          <w:rFonts w:ascii="Palatino Linotype" w:hAnsi="Palatino Linotype"/>
          <w:i w:val="0"/>
          <w:sz w:val="18"/>
        </w:rPr>
        <w:t>45.</w:t>
        <w:tab/>
        <w:t xml:space="preserve">Reinebo, G.; Alfonsson, S.; Jansson-Fröjmark, M.; Rozental, A.; Lundgren, T. Effects of Psychological Interventions to Enhance Athletic Performance: A Systematic Review and Meta-Analysis. </w:t>
      </w:r>
      <w:r>
        <w:rPr>
          <w:rFonts w:ascii="Palatino Linotype" w:hAnsi="Palatino Linotype"/>
          <w:i/>
          <w:sz w:val="18"/>
        </w:rPr>
        <w:t>Sports Med</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 347–373. https://doi.org/10.1007/s40279-023-01931-z</w:t>
      </w:r>
    </w:p>
    <w:p>
      <w:pPr>
        <w:spacing w:before="0" w:after="20" w:lineRule="exact" w:line="210"/>
        <w:ind w:left="340" w:hanging="340"/>
        <w:jc w:val="both"/>
      </w:pPr>
      <w:r>
        <w:rPr>
          <w:rFonts w:ascii="Palatino Linotype" w:hAnsi="Palatino Linotype"/>
          <w:i w:val="0"/>
          <w:sz w:val="18"/>
        </w:rPr>
        <w:t>46.</w:t>
        <w:tab/>
        <w:t xml:space="preserve">Chalmers, I.; Glasziou, P.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b/>
          <w:sz w:val="18"/>
        </w:rPr>
        <w:t>2009</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 86–89. https://doi.org/10.1016/S0140-6736(09)60329-9</w:t>
      </w:r>
    </w:p>
    <w:p>
      <w:pPr>
        <w:spacing w:before="0" w:after="20" w:lineRule="exact" w:line="210"/>
        <w:ind w:left="340" w:hanging="340"/>
        <w:jc w:val="both"/>
      </w:pPr>
      <w:r>
        <w:rPr>
          <w:rFonts w:ascii="Palatino Linotype" w:hAnsi="Palatino Linotype"/>
          <w:i w:val="0"/>
          <w:sz w:val="18"/>
        </w:rPr>
        <w:t>47.</w:t>
        <w:tab/>
        <w:t xml:space="preserve">Abt, G.; Boreham, C.; Davison, G.; Jackson, R.; Nevill, A.; Wallace, E.; Williams, M.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1933–1935. https://doi.org/10.1080/02640414.2020.1776002</w:t>
      </w:r>
    </w:p>
    <w:p>
      <w:pPr>
        <w:spacing w:before="0" w:after="20" w:lineRule="exact" w:line="210"/>
        <w:ind w:left="340" w:hanging="340"/>
        <w:jc w:val="both"/>
      </w:pPr>
      <w:r>
        <w:rPr>
          <w:rFonts w:ascii="Palatino Linotype" w:hAnsi="Palatino Linotype"/>
          <w:i w:val="0"/>
          <w:sz w:val="18"/>
        </w:rPr>
        <w:t>48.</w:t>
        <w:tab/>
        <w:t xml:space="preserve">Ely, F.O.; O., J.; Munroe-Chandler, K.J.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101–113. https://doi.org/10.1080/21520704.2020.1798573</w:t>
      </w:r>
    </w:p>
    <w:p>
      <w:pPr>
        <w:spacing w:before="0" w:after="20" w:lineRule="exact" w:line="210"/>
        <w:ind w:left="340" w:hanging="340"/>
        <w:jc w:val="both"/>
      </w:pPr>
      <w:r>
        <w:rPr>
          <w:rFonts w:ascii="Palatino Linotype" w:hAnsi="Palatino Linotype"/>
          <w:i w:val="0"/>
          <w:sz w:val="18"/>
        </w:rPr>
        <w:t>49.</w:t>
        <w:tab/>
        <w:t xml:space="preserve">Arksey, H.; O'Malley, L.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b/>
          <w:sz w:val="18"/>
        </w:rPr>
        <w:t>2005</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19–32. https://doi.org/10.1080/1364557032000119616</w:t>
      </w:r>
    </w:p>
    <w:p>
      <w:pPr>
        <w:spacing w:before="0" w:after="20" w:lineRule="exact" w:line="210"/>
        <w:ind w:left="340" w:hanging="340"/>
        <w:jc w:val="both"/>
      </w:pPr>
      <w:r>
        <w:rPr>
          <w:rFonts w:ascii="Palatino Linotype" w:hAnsi="Palatino Linotype"/>
          <w:i w:val="0"/>
          <w:sz w:val="18"/>
        </w:rPr>
        <w:t>50.</w:t>
        <w:tab/>
        <w:t xml:space="preserve">James, K.L.; Randall, N.P.; Haddaway, N.R. A methodology for systematic mapping in environmental sciences. </w:t>
      </w:r>
      <w:r>
        <w:rPr>
          <w:rFonts w:ascii="Palatino Linotype" w:hAnsi="Palatino Linotype"/>
          <w:i/>
          <w:sz w:val="18"/>
        </w:rPr>
        <w:t>Environ Evid</w:t>
      </w:r>
      <w:r>
        <w:rPr>
          <w:rFonts w:ascii="Palatino Linotype" w:hAnsi="Palatino Linotype"/>
          <w:i w:val="0"/>
          <w:sz w:val="18"/>
        </w:rPr>
        <w:t xml:space="preserve"> </w:t>
      </w:r>
      <w:r>
        <w:rPr>
          <w:rFonts w:ascii="Palatino Linotype" w:hAnsi="Palatino Linotype"/>
          <w:b/>
          <w:sz w:val="18"/>
        </w:rPr>
        <w:t>2016</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7. https://doi.org/10.1186/s13750-016-0059-6</w:t>
      </w:r>
    </w:p>
    <w:p>
      <w:pPr>
        <w:spacing w:before="0" w:after="20" w:lineRule="exact" w:line="210"/>
        <w:ind w:left="340" w:hanging="340"/>
        <w:jc w:val="both"/>
      </w:pPr>
      <w:r>
        <w:rPr>
          <w:rFonts w:ascii="Palatino Linotype" w:hAnsi="Palatino Linotype"/>
          <w:i w:val="0"/>
          <w:sz w:val="18"/>
        </w:rPr>
        <w:t>51.</w:t>
        <w:tab/>
        <w:t xml:space="preserve">Khalil, H.; Welch, V.; Grainger, M.; Campbell, F. Methodology for mapping reviews, evidence maps, and gap maps. </w:t>
      </w:r>
      <w:r>
        <w:rPr>
          <w:rFonts w:ascii="Palatino Linotype" w:hAnsi="Palatino Linotype"/>
          <w:i/>
          <w:sz w:val="18"/>
        </w:rPr>
        <w:t>Res. synth. methods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786–796. https://doi.org/10.1017/rsm.2025.25</w:t>
      </w:r>
    </w:p>
    <w:p>
      <w:pPr>
        <w:spacing w:before="0" w:after="20" w:lineRule="exact" w:line="210"/>
        <w:ind w:left="340" w:hanging="340"/>
        <w:jc w:val="both"/>
      </w:pPr>
      <w:r>
        <w:rPr>
          <w:rFonts w:ascii="Palatino Linotype" w:hAnsi="Palatino Linotype"/>
          <w:i w:val="0"/>
          <w:sz w:val="18"/>
        </w:rPr>
        <w:t>52.</w:t>
        <w:tab/>
        <w:t xml:space="preserve">Li, Y.; Ghogomu, E.; Hui, X.; Fenfen, E.; Campbell, F.; Khalil, H.; Li, X.; Gaarder, M.; Nduku, P.M.; White, H.; et al. Key concepts and reporting recommendations for mapping reviews: A scoping review of 68 guidance and methodological studies. </w:t>
      </w:r>
      <w:r>
        <w:rPr>
          <w:rFonts w:ascii="Palatino Linotype" w:hAnsi="Palatino Linotype"/>
          <w:i/>
          <w:sz w:val="18"/>
        </w:rPr>
        <w:t>Res. synth. methods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157–174. https://doi.org/10.1017/rsm.2024.9</w:t>
      </w:r>
    </w:p>
    <w:p>
      <w:pPr>
        <w:spacing w:before="0" w:after="20" w:lineRule="exact" w:line="210"/>
        <w:ind w:left="340" w:hanging="340"/>
        <w:jc w:val="both"/>
      </w:pPr>
      <w:r>
        <w:rPr>
          <w:rFonts w:ascii="Palatino Linotype" w:hAnsi="Palatino Linotype"/>
          <w:i w:val="0"/>
          <w:sz w:val="18"/>
        </w:rPr>
        <w:t>53.</w:t>
        <w:tab/>
        <w:t xml:space="preserve">Fernández-Sotos, P.; Torio, I.; Fernández-Caballero, A.; Navarro, E.; González, P.; Dompablo, M.; Rodriguez-Jimenez, R.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b/>
          <w:sz w:val="18"/>
        </w:rPr>
        <w:t>2019</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e0218720. https://doi.org/10.1371/journal.pone.0218720</w:t>
      </w:r>
    </w:p>
    <w:p>
      <w:pPr>
        <w:spacing w:before="0" w:after="20" w:lineRule="exact" w:line="210"/>
        <w:ind w:left="340" w:hanging="340"/>
        <w:jc w:val="both"/>
      </w:pPr>
      <w:r>
        <w:rPr>
          <w:rFonts w:ascii="Palatino Linotype" w:hAnsi="Palatino Linotype"/>
          <w:i w:val="0"/>
          <w:sz w:val="18"/>
        </w:rPr>
        <w:t>54.</w:t>
        <w:tab/>
        <w:t xml:space="preserve">Tricco, A.C.; Lillie, E.; Zarin, W.; O'Brien, K.K.; Colquhoun, H.; Levac, D.; Moher, D.; Peters, M.D.; Horsley, T.; Weeks, L.; et al. PRISMA Extension for Scoping Reviews (PRISMA-ScR): Checklist and Explanation. </w:t>
      </w:r>
      <w:r>
        <w:rPr>
          <w:rFonts w:ascii="Palatino Linotype" w:hAnsi="Palatino Linotype"/>
          <w:i/>
          <w:sz w:val="18"/>
        </w:rPr>
        <w:t>Ann Intern Med</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169</w:t>
      </w:r>
      <w:r>
        <w:rPr>
          <w:rFonts w:ascii="Palatino Linotype" w:hAnsi="Palatino Linotype"/>
          <w:i w:val="0"/>
          <w:sz w:val="18"/>
        </w:rPr>
        <w:t>, 467–473. https://doi.org/10.7326/m18-0850</w:t>
      </w:r>
    </w:p>
    <w:p>
      <w:pPr>
        <w:spacing w:before="0" w:after="20" w:lineRule="exact" w:line="210"/>
        <w:ind w:left="340" w:hanging="340"/>
        <w:jc w:val="both"/>
      </w:pPr>
      <w:r>
        <w:rPr>
          <w:rFonts w:ascii="Palatino Linotype" w:hAnsi="Palatino Linotype"/>
          <w:i w:val="0"/>
          <w:sz w:val="18"/>
        </w:rPr>
        <w:t>55.</w:t>
        <w:tab/>
        <w:t xml:space="preserve">McDaniel Peters, B.C.; Wood, W. Autism and Equine-Assisted Interventions: A Systematic Mapping Review. </w:t>
      </w:r>
      <w:r>
        <w:rPr>
          <w:rFonts w:ascii="Palatino Linotype" w:hAnsi="Palatino Linotype"/>
          <w:i/>
          <w:sz w:val="18"/>
        </w:rPr>
        <w:t>J Autism Dev Disord</w:t>
      </w:r>
      <w:r>
        <w:rPr>
          <w:rFonts w:ascii="Palatino Linotype" w:hAnsi="Palatino Linotype"/>
          <w:i w:val="0"/>
          <w:sz w:val="18"/>
        </w:rPr>
        <w:t xml:space="preserve"> </w:t>
      </w:r>
      <w:r>
        <w:rPr>
          <w:rFonts w:ascii="Palatino Linotype" w:hAnsi="Palatino Linotype"/>
          <w:b/>
          <w:sz w:val="18"/>
        </w:rPr>
        <w:t>2017</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 3220–3242. https://doi.org/10.1007/s10803-017-3219-9</w:t>
      </w:r>
    </w:p>
    <w:p>
      <w:pPr>
        <w:spacing w:before="0" w:after="20" w:lineRule="exact" w:line="210"/>
        <w:ind w:left="340" w:hanging="340"/>
        <w:jc w:val="both"/>
      </w:pPr>
      <w:r>
        <w:rPr>
          <w:rFonts w:ascii="Palatino Linotype" w:hAnsi="Palatino Linotype"/>
          <w:i w:val="0"/>
          <w:sz w:val="18"/>
        </w:rPr>
        <w:t>56.</w:t>
        <w:tab/>
        <w:t xml:space="preserve">Dominski, F.H.; Lorenzetti Branco, J.H.; Buonanno, G.; Stabile, L.; Gameiro da Silva, M.; Andrade, A. Effects of air pollution on health: A mapping review of systematic reviews and meta-analyses. </w:t>
      </w:r>
      <w:r>
        <w:rPr>
          <w:rFonts w:ascii="Palatino Linotype" w:hAnsi="Palatino Linotype"/>
          <w:i/>
          <w:sz w:val="18"/>
        </w:rPr>
        <w:t>Environmental Research</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201</w:t>
      </w:r>
      <w:r>
        <w:rPr>
          <w:rFonts w:ascii="Palatino Linotype" w:hAnsi="Palatino Linotype"/>
          <w:i w:val="0"/>
          <w:sz w:val="18"/>
        </w:rPr>
        <w:t>, 111487. https://doi.org/10.1016/j.envres.2021.111487</w:t>
      </w:r>
    </w:p>
    <w:p>
      <w:pPr>
        <w:spacing w:before="0" w:after="20" w:lineRule="exact" w:line="210"/>
        <w:ind w:left="340" w:hanging="340"/>
        <w:jc w:val="both"/>
      </w:pPr>
      <w:r>
        <w:rPr>
          <w:rFonts w:ascii="Palatino Linotype" w:hAnsi="Palatino Linotype"/>
          <w:i w:val="0"/>
          <w:sz w:val="18"/>
        </w:rPr>
        <w:t>57.</w:t>
        <w:tab/>
        <w:t xml:space="preserve">Andrade, A.; D’Oliveira, A.; De Souza, L.C.; Bastos, A.C.R.d.F.; Dominski, F.H.; Stabile, L.; Buonanno, G. Effects of Air Pollution on the Health of Older Adults during Physical Activities: Mapping Review. </w:t>
      </w:r>
      <w:r>
        <w:rPr>
          <w:rFonts w:ascii="Palatino Linotype" w:hAnsi="Palatino Linotype"/>
          <w:i/>
          <w:sz w:val="18"/>
        </w:rPr>
        <w:t>IJERPH</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 3506. https://doi.org/10.3390/ijerph20043506</w:t>
      </w:r>
    </w:p>
    <w:p>
      <w:pPr>
        <w:spacing w:before="0" w:after="20" w:lineRule="exact" w:line="210"/>
        <w:ind w:left="340" w:hanging="340"/>
        <w:jc w:val="both"/>
      </w:pPr>
      <w:r>
        <w:rPr>
          <w:rFonts w:ascii="Palatino Linotype" w:hAnsi="Palatino Linotype"/>
          <w:i w:val="0"/>
          <w:sz w:val="18"/>
        </w:rPr>
        <w:t>58.</w:t>
        <w:tab/>
        <w:t xml:space="preserve">Truppel, R.; D’Oliveira, A.; Canale, L.; Stabile, L.; Buonanno, G.; Andrade, A. Do Environmental Education Programs Reduce Pollution and Improve Air Quality? Impacts on Knowledge and Behavior Based on Evidence from a Mapping Review. </w:t>
      </w:r>
      <w:r>
        <w:rPr>
          <w:rFonts w:ascii="Palatino Linotype" w:hAnsi="Palatino Linotype"/>
          <w:i/>
          <w:sz w:val="18"/>
        </w:rPr>
        <w:t>Atmosphere</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1229. https://doi.org/10.3390/atmos16111229</w:t>
      </w:r>
    </w:p>
    <w:p>
      <w:pPr>
        <w:spacing w:before="0" w:after="20" w:lineRule="exact" w:line="210"/>
        <w:ind w:left="340" w:hanging="340"/>
        <w:jc w:val="both"/>
      </w:pPr>
      <w:r>
        <w:rPr>
          <w:rFonts w:ascii="Palatino Linotype" w:hAnsi="Palatino Linotype"/>
          <w:i w:val="0"/>
          <w:sz w:val="18"/>
        </w:rPr>
        <w:t>59.</w:t>
        <w:tab/>
        <w:t>EBSE-RG. Template for a Mapping Study Protocol. 2009, pp. 8–9. Available online: http://community.dur.ac.uk/ebse/resources/templates/MappingStudyTemplate.pdf (accessed on 10 August 2023).</w:t>
      </w:r>
    </w:p>
    <w:p>
      <w:pPr>
        <w:spacing w:before="0" w:after="20" w:lineRule="exact" w:line="210"/>
        <w:ind w:left="340" w:hanging="340"/>
        <w:jc w:val="both"/>
      </w:pPr>
      <w:r>
        <w:rPr>
          <w:rFonts w:ascii="Palatino Linotype" w:hAnsi="Palatino Linotype"/>
          <w:i w:val="0"/>
          <w:sz w:val="18"/>
        </w:rPr>
        <w:t>60.</w:t>
        <w:tab/>
        <w:t xml:space="preserve">Cohen, J.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b/>
          <w:sz w:val="18"/>
        </w:rPr>
        <w:t>1960</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 37–46. https://doi.org/10.1177/001316446002000104</w:t>
      </w:r>
    </w:p>
    <w:p>
      <w:pPr>
        <w:spacing w:before="0" w:after="20" w:lineRule="exact" w:line="210"/>
        <w:ind w:left="340" w:hanging="340"/>
        <w:jc w:val="both"/>
      </w:pPr>
      <w:r>
        <w:rPr>
          <w:rFonts w:ascii="Palatino Linotype" w:hAnsi="Palatino Linotype"/>
          <w:i w:val="0"/>
          <w:sz w:val="18"/>
        </w:rPr>
        <w:t>61.</w:t>
        <w:tab/>
        <w:t xml:space="preserve">Landis, J.R.; Koch, G.G.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b/>
          <w:sz w:val="18"/>
        </w:rPr>
        <w:t>1977</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 159. https://doi.org/10.2307/2529310</w:t>
      </w:r>
    </w:p>
    <w:p>
      <w:pPr>
        <w:spacing w:before="0" w:after="20" w:lineRule="exact" w:line="210"/>
        <w:ind w:left="340" w:hanging="340"/>
        <w:jc w:val="both"/>
      </w:pPr>
      <w:r>
        <w:rPr>
          <w:rFonts w:ascii="Palatino Linotype" w:hAnsi="Palatino Linotype"/>
          <w:i w:val="0"/>
          <w:sz w:val="18"/>
        </w:rPr>
        <w:t>62.</w:t>
        <w:tab/>
        <w:t xml:space="preserve">McHugh, M.L. Interrater reliability: the kappa statistic. </w:t>
      </w:r>
      <w:r>
        <w:rPr>
          <w:rFonts w:ascii="Palatino Linotype" w:hAnsi="Palatino Linotype"/>
          <w:i/>
          <w:sz w:val="18"/>
        </w:rPr>
        <w:t>Biochem Med</w:t>
      </w:r>
      <w:r>
        <w:rPr>
          <w:rFonts w:ascii="Palatino Linotype" w:hAnsi="Palatino Linotype"/>
          <w:i w:val="0"/>
          <w:sz w:val="18"/>
        </w:rPr>
        <w:t xml:space="preserve"> </w:t>
      </w:r>
      <w:r>
        <w:rPr>
          <w:rFonts w:ascii="Palatino Linotype" w:hAnsi="Palatino Linotype"/>
          <w:b/>
          <w:sz w:val="18"/>
        </w:rPr>
        <w:t>2012</w:t>
      </w:r>
      <w:r>
        <w:rPr>
          <w:rFonts w:ascii="Palatino Linotype" w:hAnsi="Palatino Linotype"/>
          <w:i w:val="0"/>
          <w:sz w:val="18"/>
        </w:rPr>
        <w:t>, 276–282. https://doi.org/10.11613/bm.2012.031</w:t>
      </w:r>
    </w:p>
    <w:p>
      <w:pPr>
        <w:spacing w:before="0" w:after="20" w:lineRule="exact" w:line="210"/>
        <w:ind w:left="340" w:hanging="340"/>
        <w:jc w:val="both"/>
      </w:pPr>
      <w:r>
        <w:rPr>
          <w:rFonts w:ascii="Palatino Linotype" w:hAnsi="Palatino Linotype"/>
          <w:i w:val="0"/>
          <w:sz w:val="18"/>
        </w:rPr>
        <w:t>63.</w:t>
        <w:tab/>
        <w:t xml:space="preserve">Higgins, J.P.T.; Thomas, J.; Chandler, J.; Cumpston, M.; Li, T.; Page, M.J.; Welch, V.A. </w:t>
      </w:r>
      <w:r>
        <w:rPr>
          <w:rFonts w:ascii="Palatino Linotype" w:hAnsi="Palatino Linotype"/>
          <w:i/>
          <w:sz w:val="18"/>
        </w:rPr>
        <w:t>Cochrane Handbook for Systematic Reviews of Interventions</w:t>
      </w:r>
      <w:r>
        <w:rPr>
          <w:rFonts w:ascii="Palatino Linotype" w:hAnsi="Palatino Linotype"/>
          <w:i w:val="0"/>
          <w:sz w:val="18"/>
        </w:rPr>
        <w:t>; Wiley: Hoboken, NJ, USA, 2019. https://doi.org/10.1002/9781119536604</w:t>
      </w:r>
    </w:p>
    <w:p>
      <w:pPr>
        <w:spacing w:before="0" w:after="20" w:lineRule="exact" w:line="210"/>
        <w:ind w:left="340" w:hanging="340"/>
        <w:jc w:val="both"/>
      </w:pPr>
      <w:r>
        <w:rPr>
          <w:rFonts w:ascii="Palatino Linotype" w:hAnsi="Palatino Linotype"/>
          <w:i w:val="0"/>
          <w:sz w:val="18"/>
        </w:rPr>
        <w:t>64.</w:t>
        <w:tab/>
        <w:t xml:space="preserve">Blondel, V.D.; Guillaume, J.L.; Lambiotte, R.; Lefebvre, E. Fast unfolding of communities in large networks. </w:t>
      </w:r>
      <w:r>
        <w:rPr>
          <w:rFonts w:ascii="Palatino Linotype" w:hAnsi="Palatino Linotype"/>
          <w:i/>
          <w:sz w:val="18"/>
        </w:rPr>
        <w:t>J. Stat. Mech.</w:t>
      </w:r>
      <w:r>
        <w:rPr>
          <w:rFonts w:ascii="Palatino Linotype" w:hAnsi="Palatino Linotype"/>
          <w:i w:val="0"/>
          <w:sz w:val="18"/>
        </w:rPr>
        <w:t xml:space="preserve"> </w:t>
      </w:r>
      <w:r>
        <w:rPr>
          <w:rFonts w:ascii="Palatino Linotype" w:hAnsi="Palatino Linotype"/>
          <w:b/>
          <w:sz w:val="18"/>
        </w:rPr>
        <w:t>2008</w:t>
      </w:r>
      <w:r>
        <w:rPr>
          <w:rFonts w:ascii="Palatino Linotype" w:hAnsi="Palatino Linotype"/>
          <w:i w:val="0"/>
          <w:sz w:val="18"/>
        </w:rPr>
        <w:t xml:space="preserve">, </w:t>
      </w:r>
      <w:r>
        <w:rPr>
          <w:rFonts w:ascii="Palatino Linotype" w:hAnsi="Palatino Linotype"/>
          <w:i/>
          <w:sz w:val="18"/>
        </w:rPr>
        <w:t>2008</w:t>
      </w:r>
      <w:r>
        <w:rPr>
          <w:rFonts w:ascii="Palatino Linotype" w:hAnsi="Palatino Linotype"/>
          <w:i w:val="0"/>
          <w:sz w:val="18"/>
        </w:rPr>
        <w:t>, P10008. https://doi.org/10.1088/1742-5468/2008/10/p10008</w:t>
      </w:r>
    </w:p>
    <w:p>
      <w:pPr>
        <w:spacing w:before="0" w:after="20" w:lineRule="exact" w:line="210"/>
        <w:ind w:left="340" w:hanging="340"/>
        <w:jc w:val="both"/>
      </w:pPr>
      <w:r>
        <w:rPr>
          <w:rFonts w:ascii="Palatino Linotype" w:hAnsi="Palatino Linotype"/>
          <w:i w:val="0"/>
          <w:sz w:val="18"/>
        </w:rPr>
        <w:t>65.</w:t>
        <w:tab/>
        <w:t xml:space="preserve">Callon, M.; Courtial, J.P.; Laville, F. Co-word analysis as a tool for describing the network of interactions between basic and technological research: The case of polymer chemsitry. </w:t>
      </w:r>
      <w:r>
        <w:rPr>
          <w:rFonts w:ascii="Palatino Linotype" w:hAnsi="Palatino Linotype"/>
          <w:i/>
          <w:sz w:val="18"/>
        </w:rPr>
        <w:t>Scientometrics</w:t>
      </w:r>
      <w:r>
        <w:rPr>
          <w:rFonts w:ascii="Palatino Linotype" w:hAnsi="Palatino Linotype"/>
          <w:i w:val="0"/>
          <w:sz w:val="18"/>
        </w:rPr>
        <w:t xml:space="preserve"> </w:t>
      </w:r>
      <w:r>
        <w:rPr>
          <w:rFonts w:ascii="Palatino Linotype" w:hAnsi="Palatino Linotype"/>
          <w:b/>
          <w:sz w:val="18"/>
        </w:rPr>
        <w:t>1991</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 155–205. https://doi.org/10.1007/bf02019280</w:t>
      </w:r>
    </w:p>
    <w:p>
      <w:pPr>
        <w:spacing w:before="0" w:after="20" w:lineRule="exact" w:line="210"/>
        <w:ind w:left="340" w:hanging="340"/>
        <w:jc w:val="both"/>
      </w:pPr>
      <w:r>
        <w:rPr>
          <w:rFonts w:ascii="Palatino Linotype" w:hAnsi="Palatino Linotype"/>
          <w:i w:val="0"/>
          <w:sz w:val="18"/>
        </w:rPr>
        <w:t>66.</w:t>
        <w:tab/>
        <w:t xml:space="preserve">Wilson, E.B. Probable Inference, the Law of Succession, and Statistical Inference. </w:t>
      </w:r>
      <w:r>
        <w:rPr>
          <w:rFonts w:ascii="Palatino Linotype" w:hAnsi="Palatino Linotype"/>
          <w:i/>
          <w:sz w:val="18"/>
        </w:rPr>
        <w:t>Journal of the American Statistical Association</w:t>
      </w:r>
      <w:r>
        <w:rPr>
          <w:rFonts w:ascii="Palatino Linotype" w:hAnsi="Palatino Linotype"/>
          <w:i w:val="0"/>
          <w:sz w:val="18"/>
        </w:rPr>
        <w:t xml:space="preserve"> </w:t>
      </w:r>
      <w:r>
        <w:rPr>
          <w:rFonts w:ascii="Palatino Linotype" w:hAnsi="Palatino Linotype"/>
          <w:b/>
          <w:sz w:val="18"/>
        </w:rPr>
        <w:t>1927</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 209–212. https://doi.org/10.1080/01621459.1927.10502953</w:t>
      </w:r>
    </w:p>
    <w:p>
      <w:pPr>
        <w:spacing w:before="0" w:after="20" w:lineRule="exact" w:line="210"/>
        <w:ind w:left="340" w:hanging="340"/>
        <w:jc w:val="both"/>
      </w:pPr>
      <w:r>
        <w:rPr>
          <w:rFonts w:ascii="Palatino Linotype" w:hAnsi="Palatino Linotype"/>
          <w:i w:val="0"/>
          <w:sz w:val="18"/>
        </w:rPr>
        <w:t>67.</w:t>
        <w:tab/>
        <w:t xml:space="preserve">Brown, L.D.; Cai, T.T.; DasGupta, A. Interval Estimation for a Binomial Proportion. </w:t>
      </w:r>
      <w:r>
        <w:rPr>
          <w:rFonts w:ascii="Palatino Linotype" w:hAnsi="Palatino Linotype"/>
          <w:i/>
          <w:sz w:val="18"/>
        </w:rPr>
        <w:t>Statist. Sci.</w:t>
      </w:r>
      <w:r>
        <w:rPr>
          <w:rFonts w:ascii="Palatino Linotype" w:hAnsi="Palatino Linotype"/>
          <w:i w:val="0"/>
          <w:sz w:val="18"/>
        </w:rPr>
        <w:t xml:space="preserve"> </w:t>
      </w:r>
      <w:r>
        <w:rPr>
          <w:rFonts w:ascii="Palatino Linotype" w:hAnsi="Palatino Linotype"/>
          <w:b/>
          <w:sz w:val="18"/>
        </w:rPr>
        <w:t>2001</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101–133. https://doi.org/10.1214/ss/1009213286</w:t>
      </w:r>
    </w:p>
    <w:p>
      <w:pPr>
        <w:spacing w:before="0" w:after="20" w:lineRule="exact" w:line="210"/>
        <w:ind w:left="340" w:hanging="340"/>
        <w:jc w:val="both"/>
      </w:pPr>
      <w:r>
        <w:rPr>
          <w:rFonts w:ascii="Palatino Linotype" w:hAnsi="Palatino Linotype"/>
          <w:i w:val="0"/>
          <w:sz w:val="18"/>
        </w:rPr>
        <w:t>68.</w:t>
        <w:tab/>
        <w:t xml:space="preserve">Garwood, F. (i) Fiducial Limits for the Poisson Distribution. </w:t>
      </w:r>
      <w:r>
        <w:rPr>
          <w:rFonts w:ascii="Palatino Linotype" w:hAnsi="Palatino Linotype"/>
          <w:i/>
          <w:sz w:val="18"/>
        </w:rPr>
        <w:t>Biometrika</w:t>
      </w:r>
      <w:r>
        <w:rPr>
          <w:rFonts w:ascii="Palatino Linotype" w:hAnsi="Palatino Linotype"/>
          <w:i w:val="0"/>
          <w:sz w:val="18"/>
        </w:rPr>
        <w:t xml:space="preserve"> </w:t>
      </w:r>
      <w:r>
        <w:rPr>
          <w:rFonts w:ascii="Palatino Linotype" w:hAnsi="Palatino Linotype"/>
          <w:b/>
          <w:sz w:val="18"/>
        </w:rPr>
        <w:t>1936</w:t>
      </w:r>
      <w:r>
        <w:rPr>
          <w:rFonts w:ascii="Palatino Linotype" w:hAnsi="Palatino Linotype"/>
          <w:i w:val="0"/>
          <w:sz w:val="18"/>
        </w:rPr>
        <w:t xml:space="preserve">, </w:t>
      </w:r>
      <w:r>
        <w:rPr>
          <w:rFonts w:ascii="Palatino Linotype" w:hAnsi="Palatino Linotype"/>
          <w:i/>
          <w:sz w:val="18"/>
        </w:rPr>
        <w:t>28</w:t>
      </w:r>
      <w:r>
        <w:rPr>
          <w:rFonts w:ascii="Palatino Linotype" w:hAnsi="Palatino Linotype"/>
          <w:i w:val="0"/>
          <w:sz w:val="18"/>
        </w:rPr>
        <w:t>, 437–442. https://doi.org/10.1093/biomet/28.3-4.437</w:t>
      </w:r>
    </w:p>
    <w:p>
      <w:pPr>
        <w:spacing w:before="0" w:after="20" w:lineRule="exact" w:line="210"/>
        <w:ind w:left="340" w:hanging="340"/>
        <w:jc w:val="both"/>
      </w:pPr>
      <w:r>
        <w:rPr>
          <w:rFonts w:ascii="Palatino Linotype" w:hAnsi="Palatino Linotype"/>
          <w:i w:val="0"/>
          <w:sz w:val="18"/>
        </w:rPr>
        <w:t>69.</w:t>
        <w:tab/>
        <w:t xml:space="preserve">Cleveland, W.S. Robust Locally Weighted Regression and Smoothing Scatterplots. </w:t>
      </w:r>
      <w:r>
        <w:rPr>
          <w:rFonts w:ascii="Palatino Linotype" w:hAnsi="Palatino Linotype"/>
          <w:i/>
          <w:sz w:val="18"/>
        </w:rPr>
        <w:t>Journal of the American Statistical Association</w:t>
      </w:r>
      <w:r>
        <w:rPr>
          <w:rFonts w:ascii="Palatino Linotype" w:hAnsi="Palatino Linotype"/>
          <w:i w:val="0"/>
          <w:sz w:val="18"/>
        </w:rPr>
        <w:t xml:space="preserve"> </w:t>
      </w:r>
      <w:r>
        <w:rPr>
          <w:rFonts w:ascii="Palatino Linotype" w:hAnsi="Palatino Linotype"/>
          <w:b/>
          <w:sz w:val="18"/>
        </w:rPr>
        <w:t>1979</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829–836. https://doi.org/10.1080/01621459.1979.10481038</w:t>
      </w:r>
    </w:p>
    <w:p>
      <w:pPr>
        <w:spacing w:before="0" w:after="20" w:lineRule="exact" w:line="210"/>
        <w:ind w:left="340" w:hanging="340"/>
        <w:jc w:val="both"/>
      </w:pPr>
      <w:r>
        <w:rPr>
          <w:rFonts w:ascii="Palatino Linotype" w:hAnsi="Palatino Linotype"/>
          <w:i w:val="0"/>
          <w:sz w:val="18"/>
        </w:rPr>
        <w:t>70.</w:t>
        <w:tab/>
        <w:t xml:space="preserve">Hyndman, R.J. Moving Averages. </w:t>
      </w:r>
      <w:r>
        <w:rPr>
          <w:rFonts w:ascii="Palatino Linotype" w:hAnsi="Palatino Linotype"/>
          <w:i/>
          <w:sz w:val="18"/>
        </w:rPr>
        <w:t>International Encyclopedia of Statistical Science</w:t>
      </w:r>
      <w:r>
        <w:rPr>
          <w:rFonts w:ascii="Palatino Linotype" w:hAnsi="Palatino Linotype"/>
          <w:i w:val="0"/>
          <w:sz w:val="18"/>
        </w:rPr>
        <w:t xml:space="preserve"> </w:t>
      </w:r>
      <w:r>
        <w:rPr>
          <w:rFonts w:ascii="Palatino Linotype" w:hAnsi="Palatino Linotype"/>
          <w:b/>
          <w:sz w:val="18"/>
        </w:rPr>
        <w:t>2011</w:t>
      </w:r>
      <w:r>
        <w:rPr>
          <w:rFonts w:ascii="Palatino Linotype" w:hAnsi="Palatino Linotype"/>
          <w:i w:val="0"/>
          <w:sz w:val="18"/>
        </w:rPr>
        <w:t>, 866–869. https://doi.org/10.1007/978-3-642-04898-2_380</w:t>
      </w:r>
    </w:p>
    <w:p>
      <w:pPr>
        <w:spacing w:before="0" w:after="20" w:lineRule="exact" w:line="210"/>
        <w:ind w:left="340" w:hanging="340"/>
        <w:jc w:val="both"/>
      </w:pPr>
      <w:r>
        <w:rPr>
          <w:rFonts w:ascii="Palatino Linotype" w:hAnsi="Palatino Linotype"/>
          <w:i w:val="0"/>
          <w:sz w:val="18"/>
        </w:rPr>
        <w:t>71.</w:t>
        <w:tab/>
        <w:t xml:space="preserve">Savitzky, A.; Golay, M.J.E. Smoothing and Differentiation of Data by Simplified Least Squares Procedures. </w:t>
      </w:r>
      <w:r>
        <w:rPr>
          <w:rFonts w:ascii="Palatino Linotype" w:hAnsi="Palatino Linotype"/>
          <w:i/>
          <w:sz w:val="18"/>
        </w:rPr>
        <w:t>Anal. Chem.</w:t>
      </w:r>
      <w:r>
        <w:rPr>
          <w:rFonts w:ascii="Palatino Linotype" w:hAnsi="Palatino Linotype"/>
          <w:i w:val="0"/>
          <w:sz w:val="18"/>
        </w:rPr>
        <w:t xml:space="preserve"> </w:t>
      </w:r>
      <w:r>
        <w:rPr>
          <w:rFonts w:ascii="Palatino Linotype" w:hAnsi="Palatino Linotype"/>
          <w:b/>
          <w:sz w:val="18"/>
        </w:rPr>
        <w:t>1964</w:t>
      </w:r>
      <w:r>
        <w:rPr>
          <w:rFonts w:ascii="Palatino Linotype" w:hAnsi="Palatino Linotype"/>
          <w:i w:val="0"/>
          <w:sz w:val="18"/>
        </w:rPr>
        <w:t xml:space="preserve">, </w:t>
      </w:r>
      <w:r>
        <w:rPr>
          <w:rFonts w:ascii="Palatino Linotype" w:hAnsi="Palatino Linotype"/>
          <w:i/>
          <w:sz w:val="18"/>
        </w:rPr>
        <w:t>36</w:t>
      </w:r>
      <w:r>
        <w:rPr>
          <w:rFonts w:ascii="Palatino Linotype" w:hAnsi="Palatino Linotype"/>
          <w:i w:val="0"/>
          <w:sz w:val="18"/>
        </w:rPr>
        <w:t>, 1627–1639. https://doi.org/10.1021/ac60214a047</w:t>
      </w:r>
    </w:p>
    <w:p>
      <w:pPr>
        <w:spacing w:before="0" w:after="20" w:lineRule="exact" w:line="210"/>
        <w:ind w:left="340" w:hanging="340"/>
        <w:jc w:val="both"/>
      </w:pPr>
      <w:r>
        <w:rPr>
          <w:rFonts w:ascii="Palatino Linotype" w:hAnsi="Palatino Linotype"/>
          <w:i w:val="0"/>
          <w:sz w:val="18"/>
        </w:rPr>
        <w:t>72.</w:t>
        <w:tab/>
        <w:t xml:space="preserve">Truong, C.; Oudre, L.; Vayatis, N. Selective review of offline change point detection methods. </w:t>
      </w:r>
      <w:r>
        <w:rPr>
          <w:rFonts w:ascii="Palatino Linotype" w:hAnsi="Palatino Linotype"/>
          <w:i/>
          <w:sz w:val="18"/>
        </w:rPr>
        <w:t>Signal Processing</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167</w:t>
      </w:r>
      <w:r>
        <w:rPr>
          <w:rFonts w:ascii="Palatino Linotype" w:hAnsi="Palatino Linotype"/>
          <w:i w:val="0"/>
          <w:sz w:val="18"/>
        </w:rPr>
        <w:t>, 107299. https://doi.org/10.1016/j.sigpro.2019.107299</w:t>
      </w:r>
    </w:p>
    <w:p>
      <w:pPr>
        <w:spacing w:before="0" w:after="20" w:lineRule="exact" w:line="210"/>
        <w:ind w:left="340" w:hanging="340"/>
        <w:jc w:val="both"/>
      </w:pPr>
      <w:r>
        <w:rPr>
          <w:rFonts w:ascii="Palatino Linotype" w:hAnsi="Palatino Linotype"/>
          <w:i w:val="0"/>
          <w:sz w:val="18"/>
        </w:rPr>
        <w:t>73.</w:t>
        <w:tab/>
        <w:t xml:space="preserve">Shannon, C. Communication in the Presence of Noise. </w:t>
      </w:r>
      <w:r>
        <w:rPr>
          <w:rFonts w:ascii="Palatino Linotype" w:hAnsi="Palatino Linotype"/>
          <w:i/>
          <w:sz w:val="18"/>
        </w:rPr>
        <w:t>Proc. IRE</w:t>
      </w:r>
      <w:r>
        <w:rPr>
          <w:rFonts w:ascii="Palatino Linotype" w:hAnsi="Palatino Linotype"/>
          <w:i w:val="0"/>
          <w:sz w:val="18"/>
        </w:rPr>
        <w:t xml:space="preserve"> </w:t>
      </w:r>
      <w:r>
        <w:rPr>
          <w:rFonts w:ascii="Palatino Linotype" w:hAnsi="Palatino Linotype"/>
          <w:b/>
          <w:sz w:val="18"/>
        </w:rPr>
        <w:t>1949</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 10–21. https://doi.org/10.1109/JRPROC.1949.232969</w:t>
      </w:r>
    </w:p>
    <w:p>
      <w:pPr>
        <w:spacing w:before="0" w:after="20" w:lineRule="exact" w:line="210"/>
        <w:ind w:left="340" w:hanging="340"/>
        <w:jc w:val="both"/>
      </w:pPr>
      <w:r>
        <w:rPr>
          <w:rFonts w:ascii="Palatino Linotype" w:hAnsi="Palatino Linotype"/>
          <w:i w:val="0"/>
          <w:sz w:val="18"/>
        </w:rPr>
        <w:t>74.</w:t>
        <w:tab/>
        <w:t xml:space="preserve">Bornmann, L.; Mutz, R. Growth rates of modern science: A bibliometric analysis based on the number of publications and cited references. </w:t>
      </w:r>
      <w:r>
        <w:rPr>
          <w:rFonts w:ascii="Palatino Linotype" w:hAnsi="Palatino Linotype"/>
          <w:i/>
          <w:sz w:val="18"/>
        </w:rPr>
        <w:t>Asso for Info Science &amp; Tech</w:t>
      </w:r>
      <w:r>
        <w:rPr>
          <w:rFonts w:ascii="Palatino Linotype" w:hAnsi="Palatino Linotype"/>
          <w:i w:val="0"/>
          <w:sz w:val="18"/>
        </w:rPr>
        <w:t xml:space="preserve"> </w:t>
      </w:r>
      <w:r>
        <w:rPr>
          <w:rFonts w:ascii="Palatino Linotype" w:hAnsi="Palatino Linotype"/>
          <w:b/>
          <w:sz w:val="18"/>
        </w:rPr>
        <w:t>2015</w:t>
      </w:r>
      <w:r>
        <w:rPr>
          <w:rFonts w:ascii="Palatino Linotype" w:hAnsi="Palatino Linotype"/>
          <w:i w:val="0"/>
          <w:sz w:val="18"/>
        </w:rPr>
        <w:t xml:space="preserve">, </w:t>
      </w:r>
      <w:r>
        <w:rPr>
          <w:rFonts w:ascii="Palatino Linotype" w:hAnsi="Palatino Linotype"/>
          <w:i/>
          <w:sz w:val="18"/>
        </w:rPr>
        <w:t>66</w:t>
      </w:r>
      <w:r>
        <w:rPr>
          <w:rFonts w:ascii="Palatino Linotype" w:hAnsi="Palatino Linotype"/>
          <w:i w:val="0"/>
          <w:sz w:val="18"/>
        </w:rPr>
        <w:t>, 2215–2222. https://doi.org/10.1002/asi.23329</w:t>
      </w:r>
    </w:p>
    <w:p>
      <w:pPr>
        <w:spacing w:before="0" w:after="20" w:lineRule="exact" w:line="210"/>
        <w:ind w:left="340" w:hanging="340"/>
        <w:jc w:val="both"/>
      </w:pPr>
      <w:r>
        <w:rPr>
          <w:rFonts w:ascii="Palatino Linotype" w:hAnsi="Palatino Linotype"/>
          <w:i w:val="0"/>
          <w:sz w:val="18"/>
        </w:rPr>
        <w:t>75.</w:t>
        <w:tab/>
        <w:t xml:space="preserve">Munafò, M.R.; Davey Smith, G. Robust research needs many lines of evidence. </w:t>
      </w:r>
      <w:r>
        <w:rPr>
          <w:rFonts w:ascii="Palatino Linotype" w:hAnsi="Palatino Linotype"/>
          <w:i/>
          <w:sz w:val="18"/>
        </w:rPr>
        <w:t>Nature</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553</w:t>
      </w:r>
      <w:r>
        <w:rPr>
          <w:rFonts w:ascii="Palatino Linotype" w:hAnsi="Palatino Linotype"/>
          <w:i w:val="0"/>
          <w:sz w:val="18"/>
        </w:rPr>
        <w:t>, 399–401. https://doi.org/10.1038/d41586-018-01023-3</w:t>
      </w:r>
    </w:p>
    <w:p>
      <w:pPr>
        <w:spacing w:before="0" w:after="20" w:lineRule="exact" w:line="210"/>
        <w:ind w:left="340" w:hanging="340"/>
        <w:jc w:val="both"/>
      </w:pPr>
      <w:r>
        <w:rPr>
          <w:rFonts w:ascii="Palatino Linotype" w:hAnsi="Palatino Linotype"/>
          <w:i w:val="0"/>
          <w:sz w:val="18"/>
        </w:rPr>
        <w:t>76.</w:t>
        <w:tab/>
        <w:t xml:space="preserve">Junior, R.; De, D.; Simões, A.C. Situações de jogo causadoras de “stress” no handebol de alto nível. </w:t>
      </w:r>
      <w:r>
        <w:rPr>
          <w:rFonts w:ascii="Palatino Linotype" w:hAnsi="Palatino Linotype"/>
          <w:i/>
          <w:sz w:val="18"/>
        </w:rPr>
        <w:t>Rev. Paul. Educ. Fís.</w:t>
      </w:r>
      <w:r>
        <w:rPr>
          <w:rFonts w:ascii="Palatino Linotype" w:hAnsi="Palatino Linotype"/>
          <w:i w:val="0"/>
          <w:sz w:val="18"/>
        </w:rPr>
        <w:t xml:space="preserve"> </w:t>
      </w:r>
      <w:r>
        <w:rPr>
          <w:rFonts w:ascii="Palatino Linotype" w:hAnsi="Palatino Linotype"/>
          <w:b/>
          <w:sz w:val="18"/>
        </w:rPr>
        <w:t>1994</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20" w:lineRule="exact" w:line="210"/>
        <w:ind w:left="340" w:hanging="340"/>
        <w:jc w:val="both"/>
      </w:pPr>
      <w:r>
        <w:rPr>
          <w:rFonts w:ascii="Palatino Linotype" w:hAnsi="Palatino Linotype"/>
          <w:i w:val="0"/>
          <w:sz w:val="18"/>
        </w:rPr>
        <w:t>77.</w:t>
        <w:tab/>
        <w:t xml:space="preserve">Martínez, M.; Bonet, J.; Encinas, A.; et al. Psychological program to improve the output of handball players. </w:t>
      </w:r>
      <w:r>
        <w:rPr>
          <w:rFonts w:ascii="Palatino Linotype" w:hAnsi="Palatino Linotype"/>
          <w:i/>
          <w:sz w:val="18"/>
        </w:rPr>
        <w:t>Psicothema</w:t>
      </w:r>
      <w:r>
        <w:rPr>
          <w:rFonts w:ascii="Palatino Linotype" w:hAnsi="Palatino Linotype"/>
          <w:i w:val="0"/>
          <w:sz w:val="18"/>
        </w:rPr>
        <w:t xml:space="preserve"> </w:t>
      </w:r>
      <w:r>
        <w:rPr>
          <w:rFonts w:ascii="Palatino Linotype" w:hAnsi="Palatino Linotype"/>
          <w:b/>
          <w:sz w:val="18"/>
        </w:rPr>
        <w:t>1998</w:t>
      </w:r>
      <w:r>
        <w:rPr>
          <w:rFonts w:ascii="Palatino Linotype" w:hAnsi="Palatino Linotype"/>
          <w:i w:val="0"/>
          <w:sz w:val="18"/>
        </w:rPr>
        <w:t>.</w:t>
      </w:r>
    </w:p>
    <w:p>
      <w:pPr>
        <w:spacing w:before="0" w:after="20" w:lineRule="exact" w:line="210"/>
        <w:ind w:left="340" w:hanging="340"/>
        <w:jc w:val="both"/>
      </w:pPr>
      <w:r>
        <w:rPr>
          <w:rFonts w:ascii="Palatino Linotype" w:hAnsi="Palatino Linotype"/>
          <w:i w:val="0"/>
          <w:sz w:val="18"/>
        </w:rPr>
        <w:t>78.</w:t>
        <w:tab/>
        <w:t xml:space="preserve">Hasan, M.M.; Mosleh, O.A.; Hammad, F.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b/>
          <w:sz w:val="18"/>
        </w:rPr>
        <w:t>2019</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 1375. https://doi.org/10.37506/v10/i12/2019/ijphrd/192563</w:t>
      </w:r>
    </w:p>
    <w:p>
      <w:pPr>
        <w:spacing w:before="0" w:after="20" w:lineRule="exact" w:line="210"/>
        <w:ind w:left="340" w:hanging="340"/>
        <w:jc w:val="both"/>
      </w:pPr>
      <w:r>
        <w:rPr>
          <w:rFonts w:ascii="Palatino Linotype" w:hAnsi="Palatino Linotype"/>
          <w:i w:val="0"/>
          <w:sz w:val="18"/>
        </w:rPr>
        <w:t>79.</w:t>
        <w:tab/>
        <w:t xml:space="preserve">Metan, H.; Küçük, V. The Effect of Psychological Skill Training Program and Positive Feedback on Handball Player’s Self-Efficacy Beliefs and their Shot Accuracy. </w:t>
      </w:r>
      <w:r>
        <w:rPr>
          <w:rFonts w:ascii="Palatino Linotype" w:hAnsi="Palatino Linotype"/>
          <w:i/>
          <w:sz w:val="18"/>
        </w:rPr>
        <w:t>Ann Appl Sport Sci</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 0–0. https://doi.org/10.52547/aassjournal.1060</w:t>
      </w:r>
    </w:p>
    <w:p>
      <w:pPr>
        <w:spacing w:before="0" w:after="20" w:lineRule="exact" w:line="210"/>
        <w:ind w:left="340" w:hanging="340"/>
        <w:jc w:val="both"/>
      </w:pPr>
      <w:r>
        <w:rPr>
          <w:rFonts w:ascii="Palatino Linotype" w:hAnsi="Palatino Linotype"/>
          <w:i w:val="0"/>
          <w:sz w:val="18"/>
        </w:rPr>
        <w:t>80.</w:t>
        <w:tab/>
        <w:t xml:space="preserve">Benešová, D.; Drozdová, P. The Effect of Controlled Movement Imaginary on Performance in a Modified 7-Metre Shot Test of Elite Female Handball Players. </w:t>
      </w:r>
      <w:r>
        <w:rPr>
          <w:rFonts w:ascii="Palatino Linotype" w:hAnsi="Palatino Linotype"/>
          <w:i/>
          <w:sz w:val="18"/>
        </w:rPr>
        <w:t>StS</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 https://doi.org/10.5817/sts2024-2-3</w:t>
      </w:r>
    </w:p>
    <w:p>
      <w:pPr>
        <w:spacing w:before="0" w:after="20" w:lineRule="exact" w:line="210"/>
        <w:ind w:left="340" w:hanging="340"/>
        <w:jc w:val="both"/>
      </w:pPr>
      <w:r>
        <w:rPr>
          <w:rFonts w:ascii="Palatino Linotype" w:hAnsi="Palatino Linotype"/>
          <w:i w:val="0"/>
          <w:sz w:val="18"/>
        </w:rPr>
        <w:t>81.</w:t>
        <w:tab/>
        <w:t xml:space="preserve">Lepir, D.; Lakić, S.; Martić, T.; Soldat, T.; Zlojutro, N.; Sekulić, Ž. The effect of Neurofeedback SMR training on psycho-physiological and behavioral phenomena in professional handball players: An exploratory study. </w:t>
      </w:r>
      <w:r>
        <w:rPr>
          <w:rFonts w:ascii="Palatino Linotype" w:hAnsi="Palatino Linotype"/>
          <w:i/>
          <w:sz w:val="18"/>
        </w:rPr>
        <w:t>sportk</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20" w:lineRule="exact" w:line="210"/>
        <w:ind w:left="340" w:hanging="340"/>
        <w:jc w:val="both"/>
      </w:pPr>
      <w:r>
        <w:rPr>
          <w:rFonts w:ascii="Palatino Linotype" w:hAnsi="Palatino Linotype"/>
          <w:i w:val="0"/>
          <w:sz w:val="18"/>
        </w:rPr>
        <w:t>82.</w:t>
        <w:tab/>
        <w:t xml:space="preserve">Saket, I.; Goumni, C.; Hammami, A.; Driss, A.; Hammami, R.; Amar, I.B.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20" w:lineRule="exact" w:line="210"/>
        <w:ind w:left="340" w:hanging="340"/>
        <w:jc w:val="both"/>
      </w:pPr>
      <w:r>
        <w:rPr>
          <w:rFonts w:ascii="Palatino Linotype" w:hAnsi="Palatino Linotype"/>
          <w:i w:val="0"/>
          <w:sz w:val="18"/>
        </w:rPr>
        <w:t>83.</w:t>
        <w:tab/>
        <w:t xml:space="preserve">Paul Meeûs, M.S.; Serpa, S.; De Cuyper, B.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b/>
          <w:sz w:val="18"/>
        </w:rPr>
        <w:t>2010</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 323–340. https://doi.org/10.1123/jcsp.4.4.323</w:t>
      </w:r>
    </w:p>
    <w:p>
      <w:pPr>
        <w:spacing w:before="0" w:after="20" w:lineRule="exact" w:line="210"/>
        <w:ind w:left="340" w:hanging="340"/>
        <w:jc w:val="both"/>
      </w:pPr>
      <w:r>
        <w:rPr>
          <w:rFonts w:ascii="Palatino Linotype" w:hAnsi="Palatino Linotype"/>
          <w:i w:val="0"/>
          <w:sz w:val="18"/>
        </w:rPr>
        <w:t>84.</w:t>
        <w:tab/>
        <w:t xml:space="preserve">Soto, D.; García-Herrero, J.A.; Carcedo, R.J. Well-Being and Throwing Speed of Women Handball Players Affected by Feedback. </w:t>
      </w:r>
      <w:r>
        <w:rPr>
          <w:rFonts w:ascii="Palatino Linotype" w:hAnsi="Palatino Linotype"/>
          <w:i/>
          <w:sz w:val="18"/>
        </w:rPr>
        <w:t>IJERPH</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6064. https://doi.org/10.3390/ijerph17176064</w:t>
      </w:r>
    </w:p>
    <w:p>
      <w:pPr>
        <w:spacing w:before="0" w:after="20" w:lineRule="exact" w:line="210"/>
        <w:ind w:left="340" w:hanging="340"/>
        <w:jc w:val="both"/>
      </w:pPr>
      <w:r>
        <w:rPr>
          <w:rFonts w:ascii="Palatino Linotype" w:hAnsi="Palatino Linotype"/>
          <w:i w:val="0"/>
          <w:sz w:val="18"/>
        </w:rPr>
        <w:t>85.</w:t>
        <w:tab/>
        <w:t xml:space="preserve">García-Herrero, J.A.; Soto-García, D.; Carcedo, R.J.; Martínez-Martín, I.; Delgado-Floody, P. Analysis of the Relationship between Satisfaction with the Coach and the Effect of Comparative Social Feedback in Elite Female Handball Players. </w:t>
      </w:r>
      <w:r>
        <w:rPr>
          <w:rFonts w:ascii="Palatino Linotype" w:hAnsi="Palatino Linotype"/>
          <w:i/>
          <w:sz w:val="18"/>
        </w:rPr>
        <w:t>IJERPH</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7680. https://doi.org/10.3390/ijerph19137680</w:t>
      </w:r>
    </w:p>
    <w:p>
      <w:pPr>
        <w:spacing w:before="0" w:after="20" w:lineRule="exact" w:line="210"/>
        <w:ind w:left="340" w:hanging="340"/>
        <w:jc w:val="both"/>
      </w:pPr>
      <w:r>
        <w:rPr>
          <w:rFonts w:ascii="Palatino Linotype" w:hAnsi="Palatino Linotype"/>
          <w:i w:val="0"/>
          <w:sz w:val="18"/>
        </w:rPr>
        <w:t>86.</w:t>
        <w:tab/>
        <w:t xml:space="preserve">Malfa, D.; Pizarro, D.; Gómez-López, M.; Valero-Valenzuela, A. Impacto del modelo ludocomprensivo en el estilo interpersonal del entrenador, la motivación y el aprendizaje del juego en jugadores de balonmano en etapa inicial. </w:t>
      </w:r>
      <w:r>
        <w:rPr>
          <w:rFonts w:ascii="Palatino Linotype" w:hAnsi="Palatino Linotype"/>
          <w:i/>
          <w:sz w:val="18"/>
        </w:rPr>
        <w:t>Sportis Sci J</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 https://doi.org/10.17979/sportis.2025.11.4.11990</w:t>
      </w:r>
    </w:p>
    <w:p>
      <w:pPr>
        <w:spacing w:before="0" w:after="20" w:lineRule="exact" w:line="210"/>
        <w:ind w:left="340" w:hanging="340"/>
        <w:jc w:val="both"/>
      </w:pPr>
      <w:r>
        <w:rPr>
          <w:rFonts w:ascii="Palatino Linotype" w:hAnsi="Palatino Linotype"/>
          <w:i w:val="0"/>
          <w:sz w:val="18"/>
        </w:rPr>
        <w:t>87.</w:t>
        <w:tab/>
        <w:t xml:space="preserve">Hornstrup, T.; Wikman, J.M.; Fristrup, B.; Póvoas, S.; Helge, E.W.; Nielsen, S.H.; Helge, J.W.; Andersen, J.L.; Nybo, L.; Krustrup, P.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139–148. https://doi.org/10.1016/j.jshs.2017.09.007</w:t>
      </w:r>
    </w:p>
    <w:p>
      <w:pPr>
        <w:spacing w:before="0" w:after="20" w:lineRule="exact" w:line="210"/>
        <w:ind w:left="340" w:hanging="340"/>
        <w:jc w:val="both"/>
      </w:pPr>
      <w:r>
        <w:rPr>
          <w:rFonts w:ascii="Palatino Linotype" w:hAnsi="Palatino Linotype"/>
          <w:i w:val="0"/>
          <w:sz w:val="18"/>
        </w:rPr>
        <w:t>88.</w:t>
        <w:tab/>
        <w:t xml:space="preserve">Tomar, R.; Allen, J. Effect of recreational handball on sleep, well-being and psychological characteristics in untrained males. </w:t>
      </w:r>
      <w:r>
        <w:rPr>
          <w:rFonts w:ascii="Palatino Linotype" w:hAnsi="Palatino Linotype"/>
          <w:i/>
          <w:sz w:val="18"/>
        </w:rPr>
        <w:t>Med. Sci.</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w:t>
      </w:r>
    </w:p>
    <w:p>
      <w:pPr>
        <w:spacing w:before="0" w:after="20" w:lineRule="exact" w:line="210"/>
        <w:ind w:left="340" w:hanging="340"/>
        <w:jc w:val="both"/>
      </w:pPr>
      <w:r>
        <w:rPr>
          <w:rFonts w:ascii="Palatino Linotype" w:hAnsi="Palatino Linotype"/>
          <w:i w:val="0"/>
          <w:sz w:val="18"/>
        </w:rPr>
        <w:t>89.</w:t>
        <w:tab/>
        <w:t xml:space="preserve">Sánchez-Sáez, J.A.; Morillo-Baro, J.P.; Sánchez Malia, J.M.; Lara Cobos, D.; Arias-Estero, J.L.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20" w:lineRule="exact" w:line="210"/>
        <w:ind w:left="340" w:hanging="340"/>
        <w:jc w:val="both"/>
      </w:pPr>
      <w:r>
        <w:rPr>
          <w:rFonts w:ascii="Palatino Linotype" w:hAnsi="Palatino Linotype"/>
          <w:i w:val="0"/>
          <w:sz w:val="18"/>
        </w:rPr>
        <w:t>90.</w:t>
        <w:tab/>
        <w:t xml:space="preserve">Martins, R.; Krustrup, P.; Castagna, C.; Mohr, M.; Teixeira, J.; Carneiro, I.; Póvoas, S. Walking handball as an exercise alternative to conventional walking and recreational team handball.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20" w:lineRule="exact" w:line="210"/>
        <w:ind w:left="340" w:hanging="340"/>
        <w:jc w:val="both"/>
      </w:pPr>
      <w:r>
        <w:rPr>
          <w:rFonts w:ascii="Palatino Linotype" w:hAnsi="Palatino Linotype"/>
          <w:i w:val="0"/>
          <w:sz w:val="18"/>
        </w:rPr>
        <w:t>91.</w:t>
        <w:tab/>
        <w:t xml:space="preserve">L'Hermette, M.; Castres, I.; Coquart, J.; Tabben, M.; Ghoul, N.; Andrieu, B.; Tourny, C. Cold Water Immersion After a Handball Training Session: The Relationship Between Physical Data and Sensorial Experience.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20" w:lineRule="exact" w:line="210"/>
        <w:ind w:left="340" w:hanging="340"/>
        <w:jc w:val="both"/>
      </w:pPr>
      <w:r>
        <w:rPr>
          <w:rFonts w:ascii="Palatino Linotype" w:hAnsi="Palatino Linotype"/>
          <w:i w:val="0"/>
          <w:sz w:val="18"/>
        </w:rPr>
        <w:t>92.</w:t>
        <w:tab/>
        <w:t xml:space="preserve">Nishida, M.; Yamamoto, K.; Murata, Y.; Ichinose, A.; Shioda, K. Exploring the Effect of Long Naps on Handball Performance and Heart Rate Variability. </w:t>
      </w:r>
      <w:r>
        <w:rPr>
          <w:rFonts w:ascii="Palatino Linotype" w:hAnsi="Palatino Linotype"/>
          <w:i/>
          <w:sz w:val="18"/>
        </w:rPr>
        <w:t>Sports Med Int Open</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E73–E80. https://doi.org/10.1055/a-1551-8054</w:t>
      </w:r>
    </w:p>
    <w:p>
      <w:pPr>
        <w:spacing w:before="0" w:after="20" w:lineRule="exact" w:line="210"/>
        <w:ind w:left="340" w:hanging="340"/>
        <w:jc w:val="both"/>
      </w:pPr>
      <w:r>
        <w:rPr>
          <w:rFonts w:ascii="Palatino Linotype" w:hAnsi="Palatino Linotype"/>
          <w:i w:val="0"/>
          <w:sz w:val="18"/>
        </w:rPr>
        <w:t>93.</w:t>
        <w:tab/>
        <w:t xml:space="preserve">Nuell, S.; Rabassa, J.; Bárcena, C.; Espar, J.; Munné, C.; García, I. Effects of daily use of intermittent pneumatic compression in competitive handball players: A randomized controlled trial. </w:t>
      </w:r>
      <w:r>
        <w:rPr>
          <w:rFonts w:ascii="Palatino Linotype" w:hAnsi="Palatino Linotype"/>
          <w:i/>
          <w:sz w:val="18"/>
        </w:rPr>
        <w:t>bs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 311–321. https://doi.org/10.5114/biolsport.2025.151656</w:t>
      </w:r>
    </w:p>
    <w:p>
      <w:pPr>
        <w:spacing w:before="0" w:after="20" w:lineRule="exact" w:line="210"/>
        <w:ind w:left="340" w:hanging="340"/>
        <w:jc w:val="both"/>
      </w:pPr>
      <w:r>
        <w:rPr>
          <w:rFonts w:ascii="Palatino Linotype" w:hAnsi="Palatino Linotype"/>
          <w:i w:val="0"/>
          <w:sz w:val="18"/>
        </w:rPr>
        <w:t>94.</w:t>
        <w:tab/>
        <w:t xml:space="preserve">Assunção Carvalho, L.C.d.S.; de Freitas, M.C.; Silva, A.S.; Biasoto, A.C.T.; Martins, M.d.C.d.C.e.; de Moura, R.C.; Brito, A.K.d.S.; Silva, A.S.V.e.; Ribeiro, S.L.G.; Rossi, F.E.; et al. Syzygium cumini Nectar Supplementation Reduced Biomarkers of Oxidative Stress, Muscle Damage, and Improved Psychological Response in Highly Trained Young Handball Players. </w:t>
      </w:r>
      <w:r>
        <w:rPr>
          <w:rFonts w:ascii="Palatino Linotype" w:hAnsi="Palatino Linotype"/>
          <w:i/>
          <w:sz w:val="18"/>
        </w:rPr>
        <w:t>Front. Physiol.</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20" w:lineRule="exact" w:line="210"/>
        <w:ind w:left="340" w:hanging="340"/>
        <w:jc w:val="both"/>
      </w:pPr>
      <w:r>
        <w:rPr>
          <w:rFonts w:ascii="Palatino Linotype" w:hAnsi="Palatino Linotype"/>
          <w:i w:val="0"/>
          <w:sz w:val="18"/>
        </w:rPr>
        <w:t>95.</w:t>
        <w:tab/>
        <w:t xml:space="preserve">Bougrine, H.; Nasser, N.; Abdessalem, R.; Ammar, A.; Chtourou, H.; Souissi, N.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3432. https://doi.org/10.3390/nu15153432</w:t>
      </w:r>
    </w:p>
    <w:p>
      <w:pPr>
        <w:spacing w:before="0" w:after="20" w:lineRule="exact" w:line="210"/>
        <w:ind w:left="340" w:hanging="340"/>
        <w:jc w:val="both"/>
      </w:pPr>
      <w:r>
        <w:rPr>
          <w:rFonts w:ascii="Palatino Linotype" w:hAnsi="Palatino Linotype"/>
          <w:i w:val="0"/>
          <w:sz w:val="18"/>
        </w:rPr>
        <w:t>96.</w:t>
        <w:tab/>
        <w:t xml:space="preserve">Khazdozi, G.; Bahari, S.M.; Ashayeri, H. Effects of Warming Up With Music on Moods and Training Motivation among Athletes. </w:t>
      </w:r>
      <w:r>
        <w:rPr>
          <w:rFonts w:ascii="Palatino Linotype" w:hAnsi="Palatino Linotype"/>
          <w:i/>
          <w:sz w:val="18"/>
        </w:rPr>
        <w:t>RAD</w:t>
      </w:r>
      <w:r>
        <w:rPr>
          <w:rFonts w:ascii="Palatino Linotype" w:hAnsi="Palatino Linotype"/>
          <w:i w:val="0"/>
          <w:sz w:val="18"/>
        </w:rPr>
        <w:t xml:space="preserve"> </w:t>
      </w:r>
      <w:r>
        <w:rPr>
          <w:rFonts w:ascii="Palatino Linotype" w:hAnsi="Palatino Linotype"/>
          <w:b/>
          <w:sz w:val="18"/>
        </w:rPr>
        <w:t>2017</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20" w:lineRule="exact" w:line="210"/>
        <w:ind w:left="340" w:hanging="340"/>
        <w:jc w:val="both"/>
      </w:pPr>
      <w:r>
        <w:rPr>
          <w:rFonts w:ascii="Palatino Linotype" w:hAnsi="Palatino Linotype"/>
          <w:i w:val="0"/>
          <w:sz w:val="18"/>
        </w:rPr>
        <w:t>97.</w:t>
        <w:tab/>
        <w:t xml:space="preserve">Seyedahmadi, M.; Keavanloo, F.; Omidi, A.; Bagheri, N. Re-injury Anxiety in Elite Iranian Handball Players: A Cross-Sectional Study. </w:t>
      </w:r>
      <w:r>
        <w:rPr>
          <w:rFonts w:ascii="Palatino Linotype" w:hAnsi="Palatino Linotype"/>
          <w:i/>
          <w:sz w:val="18"/>
        </w:rPr>
        <w:t>Asian J Sports Med</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https://doi.org/10.5812/asjsm-153552</w:t>
      </w:r>
    </w:p>
    <w:p>
      <w:pPr>
        <w:spacing w:before="0" w:after="20" w:lineRule="exact" w:line="210"/>
        <w:ind w:left="340" w:hanging="340"/>
        <w:jc w:val="both"/>
      </w:pPr>
      <w:r>
        <w:rPr>
          <w:rFonts w:ascii="Palatino Linotype" w:hAnsi="Palatino Linotype"/>
          <w:i w:val="0"/>
          <w:sz w:val="18"/>
        </w:rPr>
        <w:t>98.</w:t>
        <w:tab/>
        <w:t xml:space="preserve">Graja, A.; Ghattassi, K.; Boudhina, N.; Bouzid, M.A.; Chahed, H.; Ferchichi, S.; Driss, T.; Souissi, N.; Hammouda, O.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20" w:lineRule="exact" w:line="210"/>
        <w:ind w:left="340" w:hanging="340"/>
        <w:jc w:val="both"/>
      </w:pPr>
      <w:r>
        <w:rPr>
          <w:rFonts w:ascii="Palatino Linotype" w:hAnsi="Palatino Linotype"/>
          <w:i w:val="0"/>
          <w:sz w:val="18"/>
        </w:rPr>
        <w:t>99.</w:t>
        <w:tab/>
        <w:t xml:space="preserve">Bougrine, H.; Chalghaf, N.; Azaiez, C.; Hammad, A.S.; Boussayala, G.; Dhahri, M.; Henchiri, H.; Al-Saedi, A.I.A.U.; Al-Hayali, M.D.A.; AL-Rubaiawi, A.W.M.S.; et al. The impact of intermittent fasting during Ramadan on psychomotor and cognitive skills in adolescent athletes.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20" w:lineRule="exact" w:line="210"/>
        <w:ind w:left="340" w:hanging="340"/>
        <w:jc w:val="both"/>
      </w:pPr>
      <w:r>
        <w:rPr>
          <w:rFonts w:ascii="Palatino Linotype" w:hAnsi="Palatino Linotype"/>
          <w:i w:val="0"/>
          <w:sz w:val="18"/>
        </w:rPr>
        <w:t>100.</w:t>
        <w:tab/>
        <w:t xml:space="preserve">Mon-López, D.; de la Rubia Riaza, A.; Hontoria Galán, M.; Refoyo Roman, I. The Impact of Covid-19 and the Effect of Psychological Factors on Training Conditions of Handball Players. </w:t>
      </w:r>
      <w:r>
        <w:rPr>
          <w:rFonts w:ascii="Palatino Linotype" w:hAnsi="Palatino Linotype"/>
          <w:i/>
          <w:sz w:val="18"/>
        </w:rPr>
        <w:t>IJERPH</w:t>
      </w:r>
      <w:r>
        <w:rPr>
          <w:rFonts w:ascii="Palatino Linotype" w:hAnsi="Palatino Linotype"/>
          <w:i w:val="0"/>
          <w:sz w:val="18"/>
        </w:rPr>
        <w:t xml:space="preserve"> </w:t>
      </w:r>
      <w:r>
        <w:rPr>
          <w:rFonts w:ascii="Palatino Linotype" w:hAnsi="Palatino Linotype"/>
          <w:b/>
          <w:sz w:val="18"/>
        </w:rPr>
        <w:t>2020</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6471. https://doi.org/10.3390/ijerph17186471</w:t>
      </w:r>
    </w:p>
    <w:p>
      <w:pPr>
        <w:spacing w:before="0" w:after="20" w:lineRule="exact" w:line="210"/>
        <w:ind w:left="340" w:hanging="340"/>
        <w:jc w:val="both"/>
      </w:pPr>
      <w:r>
        <w:rPr>
          <w:rFonts w:ascii="Palatino Linotype" w:hAnsi="Palatino Linotype"/>
          <w:i w:val="0"/>
          <w:sz w:val="18"/>
        </w:rPr>
        <w:t>101.</w:t>
        <w:tab/>
        <w:t xml:space="preserve">Suárez Iglesias, D.; Soto, D.; Ayán, C.; Martínez-de-Quel, Ó. THE IMPACT OF COVID-19 ON HEALTHY HABITS AND PSYCHOLOGICAL WELL-BEING OF CHILEAN FEMALE HANDBALL PLAYERS. </w:t>
      </w:r>
      <w:r>
        <w:rPr>
          <w:rFonts w:ascii="Palatino Linotype" w:hAnsi="Palatino Linotype"/>
          <w:i/>
          <w:sz w:val="18"/>
        </w:rPr>
        <w:t>ebm.jss</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1–12. https://doi.org/10.17398/1885-7019.19.1</w:t>
      </w:r>
    </w:p>
    <w:p>
      <w:pPr>
        <w:spacing w:before="0" w:after="20" w:lineRule="exact" w:line="210"/>
        <w:ind w:left="340" w:hanging="340"/>
        <w:jc w:val="both"/>
      </w:pPr>
      <w:r>
        <w:rPr>
          <w:rFonts w:ascii="Palatino Linotype" w:hAnsi="Palatino Linotype"/>
          <w:i w:val="0"/>
          <w:sz w:val="18"/>
        </w:rPr>
        <w:t>102.</w:t>
        <w:tab/>
        <w:t xml:space="preserve">Aase, E.; Abrahamsen, F.E.; Gustafsson, H. From pandemic to podium? Norwegian Olympic handball players’ journey to Tokyo 2020.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20" w:lineRule="exact" w:line="210"/>
        <w:ind w:left="340" w:hanging="340"/>
        <w:jc w:val="both"/>
      </w:pPr>
      <w:r>
        <w:rPr>
          <w:rFonts w:ascii="Palatino Linotype" w:hAnsi="Palatino Linotype"/>
          <w:i w:val="0"/>
          <w:sz w:val="18"/>
        </w:rPr>
        <w:t>103.</w:t>
        <w:tab/>
        <w:t xml:space="preserve">Saha, S.; Boby, F.A.; Sharma, A.; Ganguly, S.; Upadhyay, K.; Khati, A.; Singh, D.K.; Dhoni, K.; Karmakar, D.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20" w:lineRule="exact" w:line="210"/>
        <w:ind w:left="340" w:hanging="340"/>
        <w:jc w:val="both"/>
      </w:pPr>
      <w:r>
        <w:rPr>
          <w:rFonts w:ascii="Palatino Linotype" w:hAnsi="Palatino Linotype"/>
          <w:i w:val="0"/>
          <w:sz w:val="18"/>
        </w:rPr>
        <w:t>104.</w:t>
        <w:tab/>
        <w:t xml:space="preserve">Andolsek, J.; Čater, R. Stressed but still in the game: how focus and rem sleep shape daily engagement in elite athletes. </w:t>
      </w:r>
      <w:r>
        <w:rPr>
          <w:rFonts w:ascii="Palatino Linotype" w:hAnsi="Palatino Linotype"/>
          <w:i/>
          <w:sz w:val="18"/>
        </w:rPr>
        <w:t>KINSI</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 177–190. https://doi.org/10.52165/kinsi.31.2.177-190</w:t>
      </w:r>
    </w:p>
    <w:p>
      <w:pPr>
        <w:spacing w:before="0" w:after="20" w:lineRule="exact" w:line="210"/>
        <w:ind w:left="340" w:hanging="340"/>
        <w:jc w:val="both"/>
      </w:pPr>
      <w:r>
        <w:rPr>
          <w:rFonts w:ascii="Palatino Linotype" w:hAnsi="Palatino Linotype"/>
          <w:i w:val="0"/>
          <w:sz w:val="18"/>
        </w:rPr>
        <w:t>105.</w:t>
        <w:tab/>
        <w:t xml:space="preserve">Bauer, J.; Muehlbauer, T.; Venzke, J.; Schäfer, R.; Platen, P.; Gruber, M. In-game monitoring of adolescent handball players: a preliminary examination of associations between external load parameters and objective and subjective fatigue markers.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20" w:lineRule="exact" w:line="210"/>
        <w:ind w:left="340" w:hanging="340"/>
        <w:jc w:val="both"/>
      </w:pPr>
      <w:r>
        <w:rPr>
          <w:rFonts w:ascii="Palatino Linotype" w:hAnsi="Palatino Linotype"/>
          <w:i w:val="0"/>
          <w:sz w:val="18"/>
        </w:rPr>
        <w:t>106.</w:t>
        <w:tab/>
        <w:t xml:space="preserve">Bugten, J.B.; Solstad, B.E.; Ivarsson, A.; Spencer, M.R.; Stenling, A.; Haugen, T.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 315–323. https://doi.org/10.1123/jsep.2025-0306</w:t>
      </w:r>
    </w:p>
    <w:p>
      <w:pPr>
        <w:spacing w:before="0" w:after="20" w:lineRule="exact" w:line="210"/>
        <w:ind w:left="340" w:hanging="340"/>
        <w:jc w:val="both"/>
      </w:pPr>
      <w:r>
        <w:rPr>
          <w:rFonts w:ascii="Palatino Linotype" w:hAnsi="Palatino Linotype"/>
          <w:i w:val="0"/>
          <w:sz w:val="18"/>
        </w:rPr>
        <w:t>107.</w:t>
        <w:tab/>
        <w:t xml:space="preserve">Reifsteck, E.J.; Anderson, S.N.; Newton, J.D.; Maher, J.P.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 408–422. https://doi.org/10.1037/spy0000252</w:t>
      </w:r>
    </w:p>
    <w:p>
      <w:pPr>
        <w:spacing w:before="0" w:after="20" w:lineRule="exact" w:line="210"/>
        <w:ind w:left="340" w:hanging="340"/>
        <w:jc w:val="both"/>
      </w:pPr>
      <w:r>
        <w:rPr>
          <w:rFonts w:ascii="Palatino Linotype" w:hAnsi="Palatino Linotype"/>
          <w:i w:val="0"/>
          <w:sz w:val="18"/>
        </w:rPr>
        <w:t>108.</w:t>
        <w:tab/>
        <w:t xml:space="preserve">Deci, E.L.; Ryan, R.M.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b/>
          <w:sz w:val="18"/>
        </w:rPr>
        <w:t>2000</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 227–268. https://doi.org/10.1207/s15327965pli1104_01</w:t>
      </w:r>
    </w:p>
    <w:p>
      <w:pPr>
        <w:spacing w:before="0" w:after="20" w:lineRule="exact" w:line="210"/>
        <w:ind w:left="340" w:hanging="340"/>
        <w:jc w:val="both"/>
      </w:pPr>
      <w:r>
        <w:rPr>
          <w:rFonts w:ascii="Palatino Linotype" w:hAnsi="Palatino Linotype"/>
          <w:i w:val="0"/>
          <w:sz w:val="18"/>
        </w:rPr>
        <w:t>109.</w:t>
        <w:tab/>
        <w:t xml:space="preserve">Jones, G. More than just a game: Research developments and issues in competitive anxiety in sport. </w:t>
      </w:r>
      <w:r>
        <w:rPr>
          <w:rFonts w:ascii="Palatino Linotype" w:hAnsi="Palatino Linotype"/>
          <w:i/>
          <w:sz w:val="18"/>
        </w:rPr>
        <w:t>British J of Psychology</w:t>
      </w:r>
      <w:r>
        <w:rPr>
          <w:rFonts w:ascii="Palatino Linotype" w:hAnsi="Palatino Linotype"/>
          <w:i w:val="0"/>
          <w:sz w:val="18"/>
        </w:rPr>
        <w:t xml:space="preserve"> </w:t>
      </w:r>
      <w:r>
        <w:rPr>
          <w:rFonts w:ascii="Palatino Linotype" w:hAnsi="Palatino Linotype"/>
          <w:b/>
          <w:sz w:val="18"/>
        </w:rPr>
        <w:t>1995</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 449–478. https://doi.org/10.1111/j.2044-8295.1995.tb02565.x</w:t>
      </w:r>
    </w:p>
    <w:p>
      <w:pPr>
        <w:spacing w:before="0" w:after="20" w:lineRule="exact" w:line="210"/>
        <w:ind w:left="340" w:hanging="340"/>
        <w:jc w:val="both"/>
      </w:pPr>
      <w:r>
        <w:rPr>
          <w:rFonts w:ascii="Palatino Linotype" w:hAnsi="Palatino Linotype"/>
          <w:i w:val="0"/>
          <w:sz w:val="18"/>
        </w:rPr>
        <w:t>110.</w:t>
        <w:tab/>
        <w:t xml:space="preserve">Bugten, J.B.; Haugen, T.; Spencer, M.; Ivarsson, A.; Byrkjedal, P.T.; Stenling, A.; Solstad, B.E. Youth Players Basic Need Satisfaction, Enjoyment and Pleasure within daily team sport training sessions, and the relationships with Physical Load Engagement: An intensive within-person longitudinal study. </w:t>
      </w:r>
      <w:r>
        <w:rPr>
          <w:rFonts w:ascii="Palatino Linotype" w:hAnsi="Palatino Linotype"/>
          <w:b/>
          <w:sz w:val="18"/>
        </w:rPr>
        <w:t xml:space="preserve"> </w:t>
      </w:r>
      <w:r>
        <w:rPr>
          <w:rFonts w:ascii="Palatino Linotype" w:hAnsi="Palatino Linotype"/>
          <w:i w:val="0"/>
          <w:sz w:val="18"/>
        </w:rPr>
        <w:t>2026**. https://doi.org/10.21203/rs.3.rs-8338987/v1</w:t>
      </w:r>
    </w:p>
    <w:p>
      <w:pPr>
        <w:spacing w:before="0" w:after="20" w:lineRule="exact" w:line="210"/>
        <w:ind w:left="340" w:hanging="340"/>
        <w:jc w:val="both"/>
      </w:pPr>
      <w:r>
        <w:rPr>
          <w:rFonts w:ascii="Palatino Linotype" w:hAnsi="Palatino Linotype"/>
          <w:i w:val="0"/>
          <w:sz w:val="18"/>
        </w:rPr>
        <w:t>111.</w:t>
        <w:tab/>
        <w:t xml:space="preserve">Wang, X.; Sun, Z.; Yuan, L.; Dong, D.; Dong, D. The association between team behaviors and competitive anxiety among team-handball players: the mediating role of achievement goals.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20" w:lineRule="exact" w:line="210"/>
        <w:ind w:left="340" w:hanging="340"/>
        <w:jc w:val="both"/>
      </w:pPr>
      <w:r>
        <w:rPr>
          <w:rFonts w:ascii="Palatino Linotype" w:hAnsi="Palatino Linotype"/>
          <w:i w:val="0"/>
          <w:sz w:val="18"/>
        </w:rPr>
        <w:t>112.</w:t>
        <w:tab/>
        <w:t xml:space="preserve">Freire, G.L.M.; Contreira, A.R.; De Moraes, J.F.V.N.; De Oliveira, D.V.; Fiorese, L.; Do Nascimento Junior, J.R.A. Coach-athlete relationship, team cohesion and motivation in Brazilian youth athletes: a cluster analysis. </w:t>
      </w:r>
      <w:r>
        <w:rPr>
          <w:rFonts w:ascii="Palatino Linotype" w:hAnsi="Palatino Linotype"/>
          <w:i/>
          <w:sz w:val="18"/>
        </w:rPr>
        <w:t>Hum Mov.</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 44–53. https://doi.org/10.5114/hm.2023.116531</w:t>
      </w:r>
    </w:p>
    <w:p>
      <w:pPr>
        <w:spacing w:before="0" w:after="20" w:lineRule="exact" w:line="210"/>
        <w:ind w:left="340" w:hanging="340"/>
        <w:jc w:val="both"/>
      </w:pPr>
      <w:r>
        <w:rPr>
          <w:rFonts w:ascii="Palatino Linotype" w:hAnsi="Palatino Linotype"/>
          <w:i w:val="0"/>
          <w:sz w:val="18"/>
        </w:rPr>
        <w:t>113.</w:t>
        <w:tab/>
        <w:t xml:space="preserve">Gómez-López, M.; Courel-Ibáñez, J.; Granero-Gallegos, A.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658–669. https://doi.org/10.1177/1747954120975107</w:t>
      </w:r>
    </w:p>
    <w:p>
      <w:pPr>
        <w:spacing w:before="0" w:after="20" w:lineRule="exact" w:line="210"/>
        <w:ind w:left="340" w:hanging="340"/>
        <w:jc w:val="both"/>
      </w:pPr>
      <w:r>
        <w:rPr>
          <w:rFonts w:ascii="Palatino Linotype" w:hAnsi="Palatino Linotype"/>
          <w:i w:val="0"/>
          <w:sz w:val="18"/>
        </w:rPr>
        <w:t>114.</w:t>
        <w:tab/>
        <w:t xml:space="preserve">Gómez-López, M.; Valero-Valenzuela, A.; Manzano-Sánchez, D.; González-Hernández, J.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933–943. https://doi.org/10.1177/17479541231223652</w:t>
      </w:r>
    </w:p>
    <w:p>
      <w:pPr>
        <w:spacing w:before="0" w:after="20" w:lineRule="exact" w:line="210"/>
        <w:ind w:left="340" w:hanging="340"/>
        <w:jc w:val="both"/>
      </w:pPr>
      <w:r>
        <w:rPr>
          <w:rFonts w:ascii="Palatino Linotype" w:hAnsi="Palatino Linotype"/>
          <w:i w:val="0"/>
          <w:sz w:val="18"/>
        </w:rPr>
        <w:t>115.</w:t>
        <w:tab/>
        <w:t xml:space="preserve">Schinke, R.J.; Stambulova, N.B.; Si, G.; Moore, Z.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622–639. https://doi.org/10.1080/1612197x.2017.1295557</w:t>
      </w:r>
    </w:p>
    <w:p>
      <w:pPr>
        <w:spacing w:before="0" w:after="20" w:lineRule="exact" w:line="210"/>
        <w:ind w:left="340" w:hanging="340"/>
        <w:jc w:val="both"/>
      </w:pPr>
      <w:r>
        <w:rPr>
          <w:rFonts w:ascii="Palatino Linotype" w:hAnsi="Palatino Linotype"/>
          <w:i w:val="0"/>
          <w:sz w:val="18"/>
        </w:rPr>
        <w:t>116.</w:t>
        <w:tab/>
        <w:t xml:space="preserve">Moesch, K.; Kenttä, G.; Kleinert, J.; Quignon-Fleuret, C.; Cecil, S.; Bertollo, M.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20" w:lineRule="exact" w:line="210"/>
        <w:ind w:left="340" w:hanging="340"/>
        <w:jc w:val="both"/>
      </w:pPr>
      <w:r>
        <w:rPr>
          <w:rFonts w:ascii="Palatino Linotype" w:hAnsi="Palatino Linotype"/>
          <w:i w:val="0"/>
          <w:sz w:val="18"/>
        </w:rPr>
        <w:t>117.</w:t>
        <w:tab/>
        <w:t xml:space="preserve">González-Hernández, J.; da Silva, C.M.; Monteiro, D.; Alesi, M.; Gómez-López, M. Effects of Commitment on Fear of Failure and Burnout in Teen Spanish Handball Players.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20" w:lineRule="exact" w:line="210"/>
        <w:ind w:left="340" w:hanging="340"/>
        <w:jc w:val="both"/>
      </w:pPr>
      <w:r>
        <w:rPr>
          <w:rFonts w:ascii="Palatino Linotype" w:hAnsi="Palatino Linotype"/>
          <w:i w:val="0"/>
          <w:sz w:val="18"/>
        </w:rPr>
        <w:t>118.</w:t>
        <w:tab/>
        <w:t xml:space="preserve">Santos-Afonso, M.d.; Lourenção, L.G.; Afonso, M.d.S.; Saes, M.d.O.; Santos, F.B.d.; Penha, J.G.M.; Galvão, D.M.; Ximenes Neto, F.R.G.; Sasaki, N.S.G.M.d.S.; Santos, M.d.L.S.G.; et al. Burnout Syndrome in Selectable Athletes for the Brazilian Handball Team—Children Category. </w:t>
      </w:r>
      <w:r>
        <w:rPr>
          <w:rFonts w:ascii="Palatino Linotype" w:hAnsi="Palatino Linotype"/>
          <w:i/>
          <w:sz w:val="18"/>
        </w:rPr>
        <w:t>IJERPH</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 3692. https://doi.org/10.3390/ijerph20043692</w:t>
      </w:r>
    </w:p>
    <w:p>
      <w:pPr>
        <w:spacing w:before="0" w:after="20" w:lineRule="exact" w:line="210"/>
        <w:ind w:left="340" w:hanging="340"/>
        <w:jc w:val="both"/>
      </w:pPr>
      <w:r>
        <w:rPr>
          <w:rFonts w:ascii="Palatino Linotype" w:hAnsi="Palatino Linotype"/>
          <w:i w:val="0"/>
          <w:sz w:val="18"/>
        </w:rPr>
        <w:t>119.</w:t>
        <w:tab/>
        <w:t xml:space="preserve">Drole, K.; Paravlic, A.; Steffen, K.; Doupona, M. Physical, psychosocial and dual-career loads as risk factors for injuries and illnesses in elite handball players: a 45-week prospective cohort study.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20" w:lineRule="exact" w:line="210"/>
        <w:ind w:left="340" w:hanging="340"/>
        <w:jc w:val="both"/>
      </w:pPr>
      <w:r>
        <w:rPr>
          <w:rFonts w:ascii="Palatino Linotype" w:hAnsi="Palatino Linotype"/>
          <w:i w:val="0"/>
          <w:sz w:val="18"/>
        </w:rPr>
        <w:t>120.</w:t>
        <w:tab/>
        <w:t xml:space="preserve">Bursik, J.; John, J.M.; Mayer, J.; Thiel, A.; Kühnle, F.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 611–633. https://doi.org/10.1177/10126902241280156</w:t>
      </w:r>
    </w:p>
    <w:p>
      <w:pPr>
        <w:spacing w:before="0" w:after="20" w:lineRule="exact" w:line="210"/>
        <w:ind w:left="340" w:hanging="340"/>
        <w:jc w:val="both"/>
      </w:pPr>
      <w:r>
        <w:rPr>
          <w:rFonts w:ascii="Palatino Linotype" w:hAnsi="Palatino Linotype"/>
          <w:i w:val="0"/>
          <w:sz w:val="18"/>
        </w:rPr>
        <w:t>121.</w:t>
        <w:tab/>
        <w:t xml:space="preserve">Lin, C.H.; Lu, F.J.; Chen, T.W.; Hsu, Y.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 1295–1315. https://doi.org/10.1080/1612197x.2021.1987503</w:t>
      </w:r>
    </w:p>
    <w:p>
      <w:pPr>
        <w:spacing w:before="0" w:after="20" w:lineRule="exact" w:line="210"/>
        <w:ind w:left="340" w:hanging="340"/>
        <w:jc w:val="both"/>
      </w:pPr>
      <w:r>
        <w:rPr>
          <w:rFonts w:ascii="Palatino Linotype" w:hAnsi="Palatino Linotype"/>
          <w:i w:val="0"/>
          <w:sz w:val="18"/>
        </w:rPr>
        <w:t>122.</w:t>
        <w:tab/>
        <w:t xml:space="preserve">Webster, K.E.; Feller, J.A.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 955–960. https://doi.org/10.4085/1062-6050-0543.21</w:t>
      </w:r>
    </w:p>
    <w:p>
      <w:pPr>
        <w:spacing w:before="0" w:after="20" w:lineRule="exact" w:line="210"/>
        <w:ind w:left="340" w:hanging="340"/>
        <w:jc w:val="both"/>
      </w:pPr>
      <w:r>
        <w:rPr>
          <w:rFonts w:ascii="Palatino Linotype" w:hAnsi="Palatino Linotype"/>
          <w:i w:val="0"/>
          <w:sz w:val="18"/>
        </w:rPr>
        <w:t>123.</w:t>
        <w:tab/>
        <w:t xml:space="preserve">Raedeke, T.D.; Smith, A.L. Development and Preliminary Validation of an Athlete Burnout Measure. </w:t>
      </w:r>
      <w:r>
        <w:rPr>
          <w:rFonts w:ascii="Palatino Linotype" w:hAnsi="Palatino Linotype"/>
          <w:i/>
          <w:sz w:val="18"/>
        </w:rPr>
        <w:t>Journal of Sport and Exercise Psychology</w:t>
      </w:r>
      <w:r>
        <w:rPr>
          <w:rFonts w:ascii="Palatino Linotype" w:hAnsi="Palatino Linotype"/>
          <w:i w:val="0"/>
          <w:sz w:val="18"/>
        </w:rPr>
        <w:t xml:space="preserve"> </w:t>
      </w:r>
      <w:r>
        <w:rPr>
          <w:rFonts w:ascii="Palatino Linotype" w:hAnsi="Palatino Linotype"/>
          <w:b/>
          <w:sz w:val="18"/>
        </w:rPr>
        <w:t>2001</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 281–306. https://doi.org/10.1123/jsep.23.4.281</w:t>
      </w:r>
    </w:p>
    <w:p>
      <w:pPr>
        <w:spacing w:before="0" w:after="20" w:lineRule="exact" w:line="210"/>
        <w:ind w:left="340" w:hanging="340"/>
        <w:jc w:val="both"/>
      </w:pPr>
      <w:r>
        <w:rPr>
          <w:rFonts w:ascii="Palatino Linotype" w:hAnsi="Palatino Linotype"/>
          <w:i w:val="0"/>
          <w:sz w:val="18"/>
        </w:rPr>
        <w:t>124.</w:t>
        <w:tab/>
        <w:t xml:space="preserve">Mageau, G.A.; Vallerand, R.J. The coach–athlete relationship: a motivational model.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b/>
          <w:sz w:val="18"/>
        </w:rPr>
        <w:t>2003</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 883–904. https://doi.org/10.1080/0264041031000140374</w:t>
      </w:r>
    </w:p>
    <w:p>
      <w:pPr>
        <w:spacing w:before="0" w:after="20" w:lineRule="exact" w:line="210"/>
        <w:ind w:left="340" w:hanging="340"/>
        <w:jc w:val="both"/>
      </w:pPr>
      <w:r>
        <w:rPr>
          <w:rFonts w:ascii="Palatino Linotype" w:hAnsi="Palatino Linotype"/>
          <w:i w:val="0"/>
          <w:sz w:val="18"/>
        </w:rPr>
        <w:t>125.</w:t>
        <w:tab/>
        <w:t xml:space="preserve">Bühren, C.; Träger, L.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 3–38. https://doi.org/10.1177/15270025211027120</w:t>
      </w:r>
    </w:p>
    <w:p>
      <w:pPr>
        <w:spacing w:before="0" w:after="20" w:lineRule="exact" w:line="210"/>
        <w:ind w:left="340" w:hanging="340"/>
        <w:jc w:val="both"/>
      </w:pPr>
      <w:r>
        <w:rPr>
          <w:rFonts w:ascii="Palatino Linotype" w:hAnsi="Palatino Linotype"/>
          <w:i w:val="0"/>
          <w:sz w:val="18"/>
        </w:rPr>
        <w:t>126.</w:t>
        <w:tab/>
        <w:t xml:space="preserve">Iusepolsky, R.; Morgulev, E.; Zach, S. The “Empty-Goal” Rule Change from the Perspective of International-Level Team Handball Goalkeepers. </w:t>
      </w:r>
      <w:r>
        <w:rPr>
          <w:rFonts w:ascii="Palatino Linotype" w:hAnsi="Palatino Linotype"/>
          <w:i/>
          <w:sz w:val="18"/>
        </w:rPr>
        <w:t>IJERPH</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6506. https://doi.org/10.3390/ijerph19116506</w:t>
      </w:r>
    </w:p>
    <w:p>
      <w:pPr>
        <w:spacing w:before="0" w:after="20" w:lineRule="exact" w:line="210"/>
        <w:ind w:left="340" w:hanging="340"/>
        <w:jc w:val="both"/>
      </w:pPr>
      <w:r>
        <w:rPr>
          <w:rFonts w:ascii="Palatino Linotype" w:hAnsi="Palatino Linotype"/>
          <w:i w:val="0"/>
          <w:sz w:val="18"/>
        </w:rPr>
        <w:t>127.</w:t>
        <w:tab/>
        <w:t xml:space="preserve">Huesmann, K.; Schorer, J.; Büsch, D.; Witt, J.; Loffing, F. Expert goalkeepers’ and coaches’ views on anticipation and cue utilisation facing backcourt throws in handball goalkeeping.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20" w:lineRule="exact" w:line="210"/>
        <w:ind w:left="340" w:hanging="340"/>
        <w:jc w:val="both"/>
      </w:pPr>
      <w:r>
        <w:rPr>
          <w:rFonts w:ascii="Palatino Linotype" w:hAnsi="Palatino Linotype"/>
          <w:i w:val="0"/>
          <w:sz w:val="18"/>
        </w:rPr>
        <w:t>128.</w:t>
        <w:tab/>
        <w:t xml:space="preserve">Russomanno, T.; Lam, H.; Knopp, M.; Huang, H.; Stadtlander, T.; Lames, M.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20" w:lineRule="exact" w:line="210"/>
        <w:ind w:left="340" w:hanging="340"/>
        <w:jc w:val="both"/>
      </w:pPr>
      <w:r>
        <w:rPr>
          <w:rFonts w:ascii="Palatino Linotype" w:hAnsi="Palatino Linotype"/>
          <w:i w:val="0"/>
          <w:sz w:val="18"/>
        </w:rPr>
        <w:t>129.</w:t>
        <w:tab/>
        <w:t xml:space="preserve">Horička, P.; Šimonek, J.; Paška, Ľ.; Popowczak, M. The Relationship of Decision-Making Style and Reaction Agility Performance Regarding the Type of Stimulus in Handball. </w:t>
      </w:r>
      <w:r>
        <w:rPr>
          <w:rFonts w:ascii="Palatino Linotype" w:hAnsi="Palatino Linotype"/>
          <w:i/>
          <w:sz w:val="18"/>
        </w:rPr>
        <w:t>StS</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 https://doi.org/10.5817/sts2024-1-20</w:t>
      </w:r>
    </w:p>
    <w:p>
      <w:pPr>
        <w:spacing w:before="0" w:after="20" w:lineRule="exact" w:line="210"/>
        <w:ind w:left="340" w:hanging="340"/>
        <w:jc w:val="both"/>
      </w:pPr>
      <w:r>
        <w:rPr>
          <w:rFonts w:ascii="Palatino Linotype" w:hAnsi="Palatino Linotype"/>
          <w:i w:val="0"/>
          <w:sz w:val="18"/>
        </w:rPr>
        <w:t>130.</w:t>
        <w:tab/>
        <w:t xml:space="preserve">Mguidich, H.; Ben Chikha, H.; Khacharem, A. Static Tactical Diagrams and Imagination: Differential Effects on Novice and Expert Handball Players. </w:t>
      </w:r>
      <w:r>
        <w:rPr>
          <w:rFonts w:ascii="Palatino Linotype" w:hAnsi="Palatino Linotype"/>
          <w:i/>
          <w:sz w:val="18"/>
        </w:rPr>
        <w:t>Percept Mot Skills</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00315125261462797. https://doi.org/10.1177/00315125261462797</w:t>
      </w:r>
    </w:p>
    <w:p>
      <w:pPr>
        <w:spacing w:before="0" w:after="20" w:lineRule="exact" w:line="210"/>
        <w:ind w:left="340" w:hanging="340"/>
        <w:jc w:val="both"/>
      </w:pPr>
      <w:r>
        <w:rPr>
          <w:rFonts w:ascii="Palatino Linotype" w:hAnsi="Palatino Linotype"/>
          <w:i w:val="0"/>
          <w:sz w:val="18"/>
        </w:rPr>
        <w:t>131.</w:t>
        <w:tab/>
        <w:t xml:space="preserve">van den Tillaar, R.; Hope, C. Effect of difficulty of task on throwing performance and coping strategies in team handball. </w:t>
      </w:r>
      <w:r>
        <w:rPr>
          <w:rFonts w:ascii="Palatino Linotype" w:hAnsi="Palatino Linotype"/>
          <w:i/>
          <w:sz w:val="18"/>
        </w:rPr>
        <w:t>Front. Sports Act. Living</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20" w:lineRule="exact" w:line="210"/>
        <w:ind w:left="340" w:hanging="340"/>
        <w:jc w:val="both"/>
      </w:pPr>
      <w:r>
        <w:rPr>
          <w:rFonts w:ascii="Palatino Linotype" w:hAnsi="Palatino Linotype"/>
          <w:i w:val="0"/>
          <w:sz w:val="18"/>
        </w:rPr>
        <w:t>132.</w:t>
        <w:tab/>
        <w:t xml:space="preserve">Schorer, J.; Heibült, N.; Wilson, S.G.; Loffing, F.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20" w:lineRule="exact" w:line="210"/>
        <w:ind w:left="340" w:hanging="340"/>
        <w:jc w:val="both"/>
      </w:pPr>
      <w:r>
        <w:rPr>
          <w:rFonts w:ascii="Palatino Linotype" w:hAnsi="Palatino Linotype"/>
          <w:i w:val="0"/>
          <w:sz w:val="18"/>
        </w:rPr>
        <w:t>133.</w:t>
        <w:tab/>
        <w:t xml:space="preserve">Kellmann, M.; Bertollo, M.; Bosquet, L.; Brink, M.; Coutts, A.J.; Duffield, R.; Erlacher, D.; Halson, S.L.; Hecksteden, A.; Heidari, J.; et al.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240–245. https://doi.org/10.1123/ijspp.2017-0759</w:t>
      </w:r>
    </w:p>
    <w:p>
      <w:pPr>
        <w:spacing w:before="0" w:after="20" w:lineRule="exact" w:line="210"/>
        <w:ind w:left="340" w:hanging="340"/>
        <w:jc w:val="both"/>
      </w:pPr>
      <w:r>
        <w:rPr>
          <w:rFonts w:ascii="Palatino Linotype" w:hAnsi="Palatino Linotype"/>
          <w:i w:val="0"/>
          <w:sz w:val="18"/>
        </w:rPr>
        <w:t>134.</w:t>
        <w:tab/>
        <w:t xml:space="preserve">Saw, A.E.; Main, L.C.; Gastin, P.B. Monitoring the athlete training response: subjective self-reported measures trump commonly used objective measures: a systematic review. </w:t>
      </w:r>
      <w:r>
        <w:rPr>
          <w:rFonts w:ascii="Palatino Linotype" w:hAnsi="Palatino Linotype"/>
          <w:i/>
          <w:sz w:val="18"/>
        </w:rPr>
        <w:t>Br J Sports Med</w:t>
      </w:r>
      <w:r>
        <w:rPr>
          <w:rFonts w:ascii="Palatino Linotype" w:hAnsi="Palatino Linotype"/>
          <w:i w:val="0"/>
          <w:sz w:val="18"/>
        </w:rPr>
        <w:t xml:space="preserve"> </w:t>
      </w:r>
      <w:r>
        <w:rPr>
          <w:rFonts w:ascii="Palatino Linotype" w:hAnsi="Palatino Linotype"/>
          <w:b/>
          <w:sz w:val="18"/>
        </w:rPr>
        <w:t>2016</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 281–291. https://doi.org/10.1136/bjsports-2015-094758</w:t>
      </w:r>
    </w:p>
    <w:p>
      <w:pPr>
        <w:spacing w:before="0" w:after="20" w:lineRule="exact" w:line="210"/>
        <w:ind w:left="340" w:hanging="340"/>
        <w:jc w:val="both"/>
      </w:pPr>
      <w:r>
        <w:rPr>
          <w:rFonts w:ascii="Palatino Linotype" w:hAnsi="Palatino Linotype"/>
          <w:i w:val="0"/>
          <w:sz w:val="18"/>
        </w:rPr>
        <w:t>135.</w:t>
        <w:tab/>
        <w:t xml:space="preserve">Walsh, N.P.; Halson, S.L.; Sargent, C.; Roach, G.D.; Nédélec, M.; Gupta, L.; Leeder, J.; Fullagar, H.H.; Coutts, A.J.; Edwards, B.J.; et al. Sleep and the athlete: narrative review and 2021 expert consensus recommendations. </w:t>
      </w:r>
      <w:r>
        <w:rPr>
          <w:rFonts w:ascii="Palatino Linotype" w:hAnsi="Palatino Linotype"/>
          <w:i/>
          <w:sz w:val="18"/>
        </w:rPr>
        <w:t>Br J Sports Med</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 356–368. https://doi.org/10.1136/bjsports-2020-102025</w:t>
      </w:r>
    </w:p>
    <w:p>
      <w:pPr>
        <w:spacing w:before="0" w:after="20" w:lineRule="exact" w:line="210"/>
        <w:ind w:left="340" w:hanging="340"/>
        <w:jc w:val="both"/>
      </w:pPr>
      <w:r>
        <w:rPr>
          <w:rFonts w:ascii="Palatino Linotype" w:hAnsi="Palatino Linotype"/>
          <w:i w:val="0"/>
          <w:sz w:val="18"/>
        </w:rPr>
        <w:t>136.</w:t>
        <w:tab/>
        <w:t xml:space="preserve">Henze, A.S.; Matits, L.; Huth, J.; Mauch, F.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393–399. https://doi.org/10.1123/ijspp.2023-0482</w:t>
      </w:r>
    </w:p>
    <w:p>
      <w:pPr>
        <w:spacing w:before="0" w:after="20" w:lineRule="exact" w:line="210"/>
        <w:ind w:left="340" w:hanging="340"/>
        <w:jc w:val="both"/>
      </w:pPr>
      <w:r>
        <w:rPr>
          <w:rFonts w:ascii="Palatino Linotype" w:hAnsi="Palatino Linotype"/>
          <w:i w:val="0"/>
          <w:sz w:val="18"/>
        </w:rPr>
        <w:t>137.</w:t>
        <w:tab/>
        <w:t xml:space="preserve">García-Sánchez, C.; Nieto-Acevedo, R.; Lorenzo-Calvo, J.; Marquina Nieto, M.; Navarro, R.M.; de la Rubia, A.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1228. https://doi.org/10.3390/app15031228</w:t>
      </w:r>
    </w:p>
    <w:p>
      <w:pPr>
        <w:spacing w:before="0" w:after="20" w:lineRule="exact" w:line="210"/>
        <w:ind w:left="340" w:hanging="340"/>
        <w:jc w:val="both"/>
      </w:pPr>
      <w:r>
        <w:rPr>
          <w:rFonts w:ascii="Palatino Linotype" w:hAnsi="Palatino Linotype"/>
          <w:i w:val="0"/>
          <w:sz w:val="18"/>
        </w:rPr>
        <w:t>138.</w:t>
        <w:tab/>
        <w:t xml:space="preserve">Font, R.; Ortega-Becerra, M.; Tremps, V.; Vicente, A.; Merayo, A.; Mallol, M. Analysis of sleep quality and quantity during a half-season in world-class handball players. </w:t>
      </w:r>
      <w:r>
        <w:rPr>
          <w:rFonts w:ascii="Palatino Linotype" w:hAnsi="Palatino Linotype"/>
          <w:i/>
          <w:sz w:val="18"/>
        </w:rPr>
        <w:t>bs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 247–255. https://doi.org/10.5114/biolsport.2025.148578</w:t>
      </w:r>
    </w:p>
    <w:p>
      <w:pPr>
        <w:spacing w:before="0" w:after="20" w:lineRule="exact" w:line="210"/>
        <w:ind w:left="340" w:hanging="340"/>
        <w:jc w:val="both"/>
      </w:pPr>
      <w:r>
        <w:rPr>
          <w:rFonts w:ascii="Palatino Linotype" w:hAnsi="Palatino Linotype"/>
          <w:i w:val="0"/>
          <w:sz w:val="18"/>
        </w:rPr>
        <w:t>139.</w:t>
        <w:tab/>
        <w:t xml:space="preserve">Ji, T.; de Jonge, J.; Peeters, M.C.W.; Taris, T.W. “Take a break!”: the role of off-job detachment in the relation between demands and work performance in elite athletes. </w:t>
      </w:r>
      <w:r>
        <w:rPr>
          <w:rFonts w:ascii="Palatino Linotype" w:hAnsi="Palatino Linotype"/>
          <w:i/>
          <w:sz w:val="18"/>
        </w:rPr>
        <w:t>Humanit Soc Sci Commun</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222. https://doi.org/10.1057/s41599-026-06541-4</w:t>
      </w:r>
    </w:p>
    <w:p>
      <w:pPr>
        <w:spacing w:before="0" w:after="20" w:lineRule="exact" w:line="210"/>
        <w:ind w:left="340" w:hanging="340"/>
        <w:jc w:val="both"/>
      </w:pPr>
      <w:r>
        <w:rPr>
          <w:rFonts w:ascii="Palatino Linotype" w:hAnsi="Palatino Linotype"/>
          <w:i w:val="0"/>
          <w:sz w:val="18"/>
        </w:rPr>
        <w:t>140.</w:t>
        <w:tab/>
        <w:t xml:space="preserve">Pedersen, A.; Randers, M.B.; Luteberget, L.S.; Møller, M.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 174–180. https://doi.org/10.1519/jsc.0000000000004202</w:t>
      </w:r>
    </w:p>
    <w:p>
      <w:pPr>
        <w:spacing w:before="0" w:after="20" w:lineRule="exact" w:line="210"/>
        <w:ind w:left="340" w:hanging="340"/>
        <w:jc w:val="both"/>
      </w:pPr>
      <w:r>
        <w:rPr>
          <w:rFonts w:ascii="Palatino Linotype" w:hAnsi="Palatino Linotype"/>
          <w:i w:val="0"/>
          <w:sz w:val="18"/>
        </w:rPr>
        <w:t>141.</w:t>
        <w:tab/>
        <w:t xml:space="preserve">Struzik, A.; Nadobnik, J.; Stępień-Słodkowska, M. TRIMP and session-RPE monitoring in elite women’s handball: a full-season descriptive analysis. </w:t>
      </w:r>
      <w:r>
        <w:rPr>
          <w:rFonts w:ascii="Palatino Linotype" w:hAnsi="Palatino Linotype"/>
          <w:i/>
          <w:sz w:val="18"/>
        </w:rPr>
        <w:t>Sci Rep</w:t>
      </w:r>
      <w:r>
        <w:rPr>
          <w:rFonts w:ascii="Palatino Linotype" w:hAnsi="Palatino Linotype"/>
          <w:i w:val="0"/>
          <w:sz w:val="18"/>
        </w:rPr>
        <w:t xml:space="preserve"> </w:t>
      </w:r>
      <w:r>
        <w:rPr>
          <w:rFonts w:ascii="Palatino Linotype" w:hAnsi="Palatino Linotype"/>
          <w:b/>
          <w:sz w:val="18"/>
        </w:rPr>
        <w:t>2026</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23045. https://doi.org/10.1038/s41598-026-53134-x</w:t>
      </w:r>
    </w:p>
    <w:p>
      <w:pPr>
        <w:spacing w:before="0" w:after="20" w:lineRule="exact" w:line="210"/>
        <w:ind w:left="340" w:hanging="340"/>
        <w:jc w:val="both"/>
      </w:pPr>
      <w:r>
        <w:rPr>
          <w:rFonts w:ascii="Palatino Linotype" w:hAnsi="Palatino Linotype"/>
          <w:i w:val="0"/>
          <w:sz w:val="18"/>
        </w:rPr>
        <w:t>142.</w:t>
        <w:tab/>
        <w:t xml:space="preserve">Sánchez-Sáez, J.A.; Sánchez-Sánchez, J.; Martínez-Rodríguez, A.; Felipe, J.L.; García-Unanue, J.; Lara-Cobos, D.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 850. https://doi.org/10.3390/s21030850</w:t>
      </w:r>
    </w:p>
    <w:p>
      <w:pPr>
        <w:spacing w:before="0" w:after="20" w:lineRule="exact" w:line="210"/>
        <w:ind w:left="340" w:hanging="340"/>
        <w:jc w:val="both"/>
      </w:pPr>
      <w:r>
        <w:rPr>
          <w:rFonts w:ascii="Palatino Linotype" w:hAnsi="Palatino Linotype"/>
          <w:i w:val="0"/>
          <w:sz w:val="18"/>
        </w:rPr>
        <w:t>143.</w:t>
        <w:tab/>
        <w:t xml:space="preserve">Penna, E.M.; Filho, E.; Campos, B.T.; Pires, D.A.; Nakamura, F.Y.; Mendes, T.T.; Lopes, T.R.; Smith, M.; Prado, L.S. MENTAL FATIGUE DOES NOT AFFECT HEART RATE RECOVERY BUT IMPAIRS PERFORMANCE IN HANDBALL PLAYERS. </w:t>
      </w:r>
      <w:r>
        <w:rPr>
          <w:rFonts w:ascii="Palatino Linotype" w:hAnsi="Palatino Linotype"/>
          <w:i/>
          <w:sz w:val="18"/>
        </w:rPr>
        <w:t>Rev Bras Med Esporte</w:t>
      </w:r>
      <w:r>
        <w:rPr>
          <w:rFonts w:ascii="Palatino Linotype" w:hAnsi="Palatino Linotype"/>
          <w:i w:val="0"/>
          <w:sz w:val="18"/>
        </w:rPr>
        <w:t xml:space="preserve"> </w:t>
      </w:r>
      <w:r>
        <w:rPr>
          <w:rFonts w:ascii="Palatino Linotype" w:hAnsi="Palatino Linotype"/>
          <w:b/>
          <w:sz w:val="18"/>
        </w:rPr>
        <w:t>2018</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 347–351. https://doi.org/10.1590/1517-869220182405180483</w:t>
      </w:r>
    </w:p>
    <w:p>
      <w:pPr>
        <w:spacing w:before="0" w:after="20" w:lineRule="exact" w:line="210"/>
        <w:ind w:left="340" w:hanging="340"/>
        <w:jc w:val="both"/>
      </w:pPr>
      <w:r>
        <w:rPr>
          <w:rFonts w:ascii="Palatino Linotype" w:hAnsi="Palatino Linotype"/>
          <w:i w:val="0"/>
          <w:sz w:val="18"/>
        </w:rPr>
        <w:t>144.</w:t>
        <w:tab/>
        <w:t xml:space="preserve">Essid, S.; Cherif, M.; Chtourou, H.; Souissi, N.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1261–1272. https://doi.org/10.1080/09291016.2021.1922212</w:t>
      </w:r>
    </w:p>
    <w:p>
      <w:pPr>
        <w:spacing w:before="0" w:after="20" w:lineRule="exact" w:line="210"/>
        <w:ind w:left="340" w:hanging="340"/>
        <w:jc w:val="both"/>
      </w:pPr>
      <w:r>
        <w:rPr>
          <w:rFonts w:ascii="Palatino Linotype" w:hAnsi="Palatino Linotype"/>
          <w:i w:val="0"/>
          <w:sz w:val="18"/>
        </w:rPr>
        <w:t>145.</w:t>
        <w:tab/>
        <w:t xml:space="preserve">Campbell, M.K.; Piaggio, G.; Elbourne, D.R.; Altman, D.G.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b/>
          <w:sz w:val="18"/>
        </w:rPr>
        <w:t>2012</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 e5661–e5661. https://doi.org/10.1136/bmj.e5661</w:t>
      </w:r>
    </w:p>
    <w:p>
      <w:pPr>
        <w:spacing w:before="0" w:after="20" w:lineRule="exact" w:line="210"/>
        <w:ind w:left="340" w:hanging="340"/>
        <w:jc w:val="both"/>
      </w:pPr>
      <w:r>
        <w:rPr>
          <w:rFonts w:ascii="Palatino Linotype" w:hAnsi="Palatino Linotype"/>
          <w:i w:val="0"/>
          <w:sz w:val="18"/>
        </w:rPr>
        <w:t>146.</w:t>
        <w:tab/>
        <w:t xml:space="preserve">Barker, J.B.; Mellalieu, S.D.; McCarthy, P.J.; Jones, M.V.; Moran, A.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b/>
          <w:sz w:val="18"/>
        </w:rPr>
        <w:t>2013</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 4–32. https://doi.org/10.1080/10413200.2012.709579</w:t>
      </w:r>
    </w:p>
    <w:p>
      <w:pPr>
        <w:spacing w:before="0" w:after="20" w:lineRule="exact" w:line="210"/>
        <w:ind w:left="340" w:hanging="340"/>
        <w:jc w:val="both"/>
      </w:pPr>
      <w:r>
        <w:rPr>
          <w:rFonts w:ascii="Palatino Linotype" w:hAnsi="Palatino Linotype"/>
          <w:i w:val="0"/>
          <w:sz w:val="18"/>
        </w:rPr>
        <w:t>147.</w:t>
        <w:tab/>
        <w:t xml:space="preserve">Button, K.S.; Ioannidis, J.P.A.; Mokrysz, C.; Nosek, B.A.; Flint, J.; Robinson, E.S.J.; Munafò, M.R. Power failure: why small sample size undermines the reliability of neuroscience. </w:t>
      </w:r>
      <w:r>
        <w:rPr>
          <w:rFonts w:ascii="Palatino Linotype" w:hAnsi="Palatino Linotype"/>
          <w:i/>
          <w:sz w:val="18"/>
        </w:rPr>
        <w:t>Nat Rev Neurosci</w:t>
      </w:r>
      <w:r>
        <w:rPr>
          <w:rFonts w:ascii="Palatino Linotype" w:hAnsi="Palatino Linotype"/>
          <w:i w:val="0"/>
          <w:sz w:val="18"/>
        </w:rPr>
        <w:t xml:space="preserve"> </w:t>
      </w:r>
      <w:r>
        <w:rPr>
          <w:rFonts w:ascii="Palatino Linotype" w:hAnsi="Palatino Linotype"/>
          <w:b/>
          <w:sz w:val="18"/>
        </w:rPr>
        <w:t>2013</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365–376. https://doi.org/10.1038/nrn3475</w:t>
      </w:r>
    </w:p>
    <w:p>
      <w:pPr>
        <w:spacing w:before="0" w:after="20" w:lineRule="exact" w:line="210"/>
        <w:ind w:left="340" w:hanging="340"/>
        <w:jc w:val="both"/>
      </w:pPr>
      <w:r>
        <w:rPr>
          <w:rFonts w:ascii="Palatino Linotype" w:hAnsi="Palatino Linotype"/>
          <w:i w:val="0"/>
          <w:sz w:val="18"/>
        </w:rPr>
        <w:t>148.</w:t>
        <w:tab/>
        <w:t xml:space="preserve">Carraça, B.; Magalhães, C.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20" w:lineRule="exact" w:line="210"/>
        <w:ind w:left="340" w:hanging="340"/>
        <w:jc w:val="both"/>
      </w:pPr>
      <w:r>
        <w:rPr>
          <w:rFonts w:ascii="Palatino Linotype" w:hAnsi="Palatino Linotype"/>
          <w:i w:val="0"/>
          <w:sz w:val="18"/>
        </w:rPr>
        <w:t>149.</w:t>
        <w:tab/>
        <w:t xml:space="preserve">Hatzigeorgiadis, A.; Zourbanos, N.; Galanis, E.; Theodorakis, Y. Self-Talk and Sports Performance. </w:t>
      </w:r>
      <w:r>
        <w:rPr>
          <w:rFonts w:ascii="Palatino Linotype" w:hAnsi="Palatino Linotype"/>
          <w:i/>
          <w:sz w:val="18"/>
        </w:rPr>
        <w:t>Perspect Psychol Sci</w:t>
      </w:r>
      <w:r>
        <w:rPr>
          <w:rFonts w:ascii="Palatino Linotype" w:hAnsi="Palatino Linotype"/>
          <w:i w:val="0"/>
          <w:sz w:val="18"/>
        </w:rPr>
        <w:t xml:space="preserve"> </w:t>
      </w:r>
      <w:r>
        <w:rPr>
          <w:rFonts w:ascii="Palatino Linotype" w:hAnsi="Palatino Linotype"/>
          <w:b/>
          <w:sz w:val="18"/>
        </w:rPr>
        <w:t>2011</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348–356. https://doi.org/10.1177/1745691611413136</w:t>
      </w:r>
    </w:p>
    <w:p>
      <w:pPr>
        <w:spacing w:before="0" w:after="20" w:lineRule="exact" w:line="210"/>
        <w:ind w:left="340" w:hanging="340"/>
        <w:jc w:val="both"/>
      </w:pPr>
      <w:r>
        <w:rPr>
          <w:rFonts w:ascii="Palatino Linotype" w:hAnsi="Palatino Linotype"/>
          <w:i w:val="0"/>
          <w:sz w:val="18"/>
        </w:rPr>
        <w:t>150.</w:t>
        <w:tab/>
        <w:t xml:space="preserve">Simonsmeier, B.A.; Andronie, M.; Buecker, S.; Frank, C.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186–207. https://doi.org/10.1080/1750984x.2020.1780627</w:t>
      </w:r>
    </w:p>
    <w:p>
      <w:pPr>
        <w:spacing w:before="0" w:after="20" w:lineRule="exact" w:line="210"/>
        <w:ind w:left="340" w:hanging="340"/>
        <w:jc w:val="both"/>
      </w:pPr>
      <w:r>
        <w:rPr>
          <w:rFonts w:ascii="Palatino Linotype" w:hAnsi="Palatino Linotype"/>
          <w:i w:val="0"/>
          <w:sz w:val="18"/>
        </w:rPr>
        <w:t>151.</w:t>
        <w:tab/>
        <w:t xml:space="preserve">Si, X.W.; Yang, Z.K.; Feng, X. A meta-analysis of the intervention effect of mindfulness training on athletes’ performance. </w:t>
      </w:r>
      <w:r>
        <w:rPr>
          <w:rFonts w:ascii="Palatino Linotype" w:hAnsi="Palatino Linotype"/>
          <w:i/>
          <w:sz w:val="18"/>
        </w:rPr>
        <w:t>Front. Psychol.</w:t>
      </w:r>
      <w:r>
        <w:rPr>
          <w:rFonts w:ascii="Palatino Linotype" w:hAnsi="Palatino Linotype"/>
          <w:i w:val="0"/>
          <w:sz w:val="18"/>
        </w:rPr>
        <w:t xml:space="preserve"> </w:t>
      </w:r>
      <w:r>
        <w:rPr>
          <w:rFonts w:ascii="Palatino Linotype" w:hAnsi="Palatino Linotype"/>
          <w:b/>
          <w:sz w:val="18"/>
        </w:rPr>
        <w:t>2024</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20" w:lineRule="exact" w:line="210"/>
        <w:ind w:left="340" w:hanging="340"/>
        <w:jc w:val="both"/>
      </w:pPr>
      <w:r>
        <w:rPr>
          <w:rFonts w:ascii="Palatino Linotype" w:hAnsi="Palatino Linotype"/>
          <w:i w:val="0"/>
          <w:sz w:val="18"/>
        </w:rPr>
        <w:t>152.</w:t>
        <w:tab/>
        <w:t xml:space="preserve">Hagger, M.S.; Hamilton, K.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b/>
          <w:sz w:val="18"/>
        </w:rPr>
        <w:t>2025</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96–119. https://doi.org/10.1037/spy0000352</w:t>
      </w:r>
    </w:p>
    <w:p>
      <w:pPr>
        <w:spacing w:before="0" w:after="20" w:lineRule="exact" w:line="210"/>
        <w:ind w:left="340" w:hanging="340"/>
        <w:jc w:val="both"/>
      </w:pPr>
      <w:r>
        <w:rPr>
          <w:rFonts w:ascii="Palatino Linotype" w:hAnsi="Palatino Linotype"/>
          <w:i w:val="0"/>
          <w:sz w:val="18"/>
        </w:rPr>
        <w:t>153.</w:t>
        <w:tab/>
        <w:t xml:space="preserve">Breslin, G.; Shannon, S.; Cummings, M.; Leavey, G. An updated systematic review of interventions to increase awareness of mental health and well-being in athletes, coaches, officials and parents. </w:t>
      </w:r>
      <w:r>
        <w:rPr>
          <w:rFonts w:ascii="Palatino Linotype" w:hAnsi="Palatino Linotype"/>
          <w:i/>
          <w:sz w:val="18"/>
        </w:rPr>
        <w:t>Syst Rev</w:t>
      </w:r>
      <w:r>
        <w:rPr>
          <w:rFonts w:ascii="Palatino Linotype" w:hAnsi="Palatino Linotype"/>
          <w:i w:val="0"/>
          <w:sz w:val="18"/>
        </w:rPr>
        <w:t xml:space="preserve"> </w:t>
      </w:r>
      <w:r>
        <w:rPr>
          <w:rFonts w:ascii="Palatino Linotype" w:hAnsi="Palatino Linotype"/>
          <w:b/>
          <w:sz w:val="18"/>
        </w:rPr>
        <w:t>2022</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 99. https://doi.org/10.1186/s13643-022-01932-5</w:t>
      </w:r>
    </w:p>
    <w:p>
      <w:pPr>
        <w:spacing w:before="0" w:after="20" w:lineRule="exact" w:line="210"/>
        <w:ind w:left="340" w:hanging="340"/>
        <w:jc w:val="both"/>
      </w:pPr>
      <w:r>
        <w:rPr>
          <w:rFonts w:ascii="Palatino Linotype" w:hAnsi="Palatino Linotype"/>
          <w:i w:val="0"/>
          <w:sz w:val="18"/>
        </w:rPr>
        <w:t>154.</w:t>
        <w:tab/>
        <w:t xml:space="preserve">Martin, L.J.; Carron, A.V.; Burke, S.M. Team building interventions in sport: A meta-analysis. </w:t>
      </w:r>
      <w:r>
        <w:rPr>
          <w:rFonts w:ascii="Palatino Linotype" w:hAnsi="Palatino Linotype"/>
          <w:i/>
          <w:sz w:val="18"/>
        </w:rPr>
        <w:t>bpssepr</w:t>
      </w:r>
      <w:r>
        <w:rPr>
          <w:rFonts w:ascii="Palatino Linotype" w:hAnsi="Palatino Linotype"/>
          <w:i w:val="0"/>
          <w:sz w:val="18"/>
        </w:rPr>
        <w:t xml:space="preserve"> </w:t>
      </w:r>
      <w:r>
        <w:rPr>
          <w:rFonts w:ascii="Palatino Linotype" w:hAnsi="Palatino Linotype"/>
          <w:b/>
          <w:sz w:val="18"/>
        </w:rPr>
        <w:t>2009</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3–18. https://doi.org/10.53841/bpssepr.2009.5.2.3</w:t>
      </w:r>
    </w:p>
    <w:p>
      <w:pPr>
        <w:spacing w:before="0" w:after="20" w:lineRule="exact" w:line="210"/>
        <w:ind w:left="340" w:hanging="340"/>
        <w:jc w:val="both"/>
      </w:pPr>
      <w:r>
        <w:rPr>
          <w:rFonts w:ascii="Palatino Linotype" w:hAnsi="Palatino Linotype"/>
          <w:i w:val="0"/>
          <w:sz w:val="18"/>
        </w:rPr>
        <w:t>155.</w:t>
        <w:tab/>
        <w:t xml:space="preserve">Ntoumanis, N.; Ng, J.Y.; Prestwich, A.; Quested, E.; Hancox, J.E.; Thøgersen-Ntoumani, C.; Deci, E.L.; Ryan, R.M.; Lonsdale, C.; Williams, G.C.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b/>
          <w:sz w:val="18"/>
        </w:rPr>
        <w:t>2021</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214–244. https://doi.org/10.1080/17437199.2020.1718529</w:t>
      </w:r>
    </w:p>
    <w:p>
      <w:pPr>
        <w:spacing w:before="0" w:after="20" w:lineRule="exact" w:line="210"/>
        <w:ind w:left="340" w:hanging="340"/>
        <w:jc w:val="both"/>
      </w:pPr>
      <w:r>
        <w:rPr>
          <w:rFonts w:ascii="Palatino Linotype" w:hAnsi="Palatino Linotype"/>
          <w:i w:val="0"/>
          <w:sz w:val="18"/>
        </w:rPr>
        <w:t>156.</w:t>
        <w:tab/>
        <w:t xml:space="preserve">Nikolovski, Z.; Vrdoljak, D.; Foretić, N.; Perić, M.; Marić, D.; Fountoulakis, C.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 1242. https://doi.org/10.3390/healthcare11091242</w:t>
      </w:r>
    </w:p>
    <w:p>
      <w:pPr>
        <w:spacing w:before="0" w:after="20" w:lineRule="exact" w:line="210"/>
        <w:ind w:left="340" w:hanging="340"/>
        <w:jc w:val="both"/>
      </w:pPr>
      <w:r>
        <w:rPr>
          <w:rFonts w:ascii="Palatino Linotype" w:hAnsi="Palatino Linotype"/>
          <w:i w:val="0"/>
          <w:sz w:val="18"/>
        </w:rPr>
        <w:t>157.</w:t>
        <w:tab/>
        <w:t xml:space="preserve">Guyatt, G.H.; Oxman, A.D.; Vist, G.E.; Kunz, R.; Falck-Ytter, Y.; Alonso-Coello, P.; Schünemann, H.J.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b/>
          <w:sz w:val="18"/>
        </w:rPr>
        <w:t>2008</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 924–926. https://doi.org/10.1136/bmj.39489.470347.AD</w:t>
      </w:r>
    </w:p>
    <w:p>
      <w:pPr>
        <w:spacing w:before="0" w:after="20" w:lineRule="exact" w:line="210"/>
        <w:ind w:left="340" w:hanging="340"/>
        <w:jc w:val="both"/>
      </w:pPr>
      <w:r>
        <w:rPr>
          <w:rFonts w:ascii="Palatino Linotype" w:hAnsi="Palatino Linotype"/>
          <w:i w:val="0"/>
          <w:sz w:val="18"/>
        </w:rPr>
        <w:t>158.</w:t>
        <w:tab/>
        <w:t xml:space="preserve">Schulz, K.F.; Altman, D.G.; Moher, D.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b/>
          <w:sz w:val="18"/>
        </w:rPr>
        <w:t>2010</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 c332–c332. https://doi.org/10.1136/bmj.c332</w:t>
      </w:r>
    </w:p>
    <w:p>
      <w:pPr>
        <w:spacing w:before="0" w:after="20" w:lineRule="exact" w:line="210"/>
        <w:ind w:left="340" w:hanging="340"/>
        <w:jc w:val="both"/>
      </w:pPr>
      <w:r>
        <w:rPr>
          <w:rFonts w:ascii="Palatino Linotype" w:hAnsi="Palatino Linotype"/>
          <w:i w:val="0"/>
          <w:sz w:val="18"/>
        </w:rPr>
        <w:t>159.</w:t>
        <w:tab/>
        <w:t xml:space="preserve">Hoffmann, T.C.; Glasziou, P.P.; Boutron, I.; Milne, R.; Perera, R.; Moher, D.; Altman, D.G.; Barbour, V.; Macdonald, H.; Johnston, M.; et al.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b/>
          <w:sz w:val="18"/>
        </w:rPr>
        <w:t>2014</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 g1687–g1687. https://doi.org/10.1136/bmj.g1687</w:t>
      </w:r>
    </w:p>
    <w:p>
      <w:pPr>
        <w:spacing w:before="0" w:after="20" w:lineRule="exact" w:line="210"/>
        <w:ind w:left="340" w:hanging="340"/>
        <w:jc w:val="both"/>
      </w:pPr>
      <w:r>
        <w:rPr>
          <w:rFonts w:ascii="Palatino Linotype" w:hAnsi="Palatino Linotype"/>
          <w:i w:val="0"/>
          <w:sz w:val="18"/>
        </w:rPr>
        <w:t>160.</w:t>
        <w:tab/>
        <w:t xml:space="preserve">Sahli, F.; Sahli, H.; Trabelsi, O.; Jebabli, N.; Zghibi, M.; Haddad, M.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b/>
          <w:sz w:val="18"/>
        </w:rPr>
        <w:t>2023</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 680. https://doi.org/10.3390/children10040680</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