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left="0" w:firstLine="0"/>
        <w:jc w:val="center"/>
      </w:pPr>
      <w:r>
        <w:rPr>
          <w:rFonts w:ascii="Times New Roman" w:hAnsi="Times New Roman"/>
          <w:b/>
          <w:sz w:val="28"/>
        </w:rPr>
        <w:t>ESTADOS DE HUMOR EM ATLETAS DE HANDEBOL NO TREINAMENTO E NA COMPETIÇÃO: REVISÃO SISTEMÁTICA</w:t>
      </w:r>
    </w:p>
    <w:p>
      <w:pPr>
        <w:spacing w:before="0" w:after="360" w:line="240" w:lineRule="auto"/>
        <w:ind w:left="0" w:firstLine="0"/>
        <w:jc w:val="center"/>
      </w:pPr>
      <w:r>
        <w:rPr>
          <w:rFonts w:ascii="Times New Roman" w:hAnsi="Times New Roman"/>
          <w:i/>
          <w:sz w:val="24"/>
        </w:rPr>
        <w:t>Mood states in handball athletes during training and competition: a systematic review</w:t>
      </w:r>
    </w:p>
    <w:p>
      <w:pPr>
        <w:spacing w:before="0" w:after="0" w:line="240" w:lineRule="auto"/>
        <w:ind w:left="0" w:firstLine="0"/>
        <w:jc w:val="right"/>
      </w:pPr>
      <w:r>
        <w:rPr>
          <w:rFonts w:ascii="Times New Roman" w:hAnsi="Times New Roman"/>
          <w:i w:val="0"/>
          <w:sz w:val="24"/>
        </w:rPr>
        <w:t>[Autor 1]¹; [Autor 2]¹; [Autor 3]¹; [Autor 4]¹</w:t>
      </w:r>
    </w:p>
    <w:p>
      <w:pPr>
        <w:spacing w:before="0" w:after="360" w:line="240" w:lineRule="auto"/>
        <w:ind w:left="0" w:firstLine="0"/>
        <w:jc w:val="right"/>
      </w:pPr>
      <w:r>
        <w:rPr>
          <w:rFonts w:ascii="Times New Roman" w:hAnsi="Times New Roman"/>
          <w:i w:val="0"/>
          <w:sz w:val="20"/>
        </w:rPr>
        <w:t>¹ Laboratório de Psicologia do Esporte e do Exercício (Lape), Centro de Ciências da Saúde e do Esporte, Universidade do Estado de Santa Catarina (UDESC), Florianópolis, SC, Brasil. Correspondência: [e-mail].</w:t>
      </w:r>
    </w:p>
    <w:p>
      <w:pPr>
        <w:spacing w:before="0" w:after="120" w:line="240" w:lineRule="auto"/>
        <w:ind w:left="0" w:firstLine="0"/>
        <w:jc w:val="center"/>
      </w:pPr>
      <w:r>
        <w:rPr>
          <w:rFonts w:ascii="Times New Roman" w:hAnsi="Times New Roman"/>
          <w:b/>
          <w:sz w:val="24"/>
        </w:rPr>
        <w:t>RESUMO</w:t>
      </w:r>
    </w:p>
    <w:p>
      <w:pPr>
        <w:spacing w:before="0" w:after="0" w:line="240" w:lineRule="auto"/>
        <w:ind w:left="0" w:firstLine="0"/>
        <w:jc w:val="both"/>
      </w:pPr>
      <w:r>
        <w:rPr>
          <w:rFonts w:ascii="Times New Roman" w:hAnsi="Times New Roman"/>
          <w:i w:val="0"/>
          <w:sz w:val="24"/>
        </w:rPr>
        <w:t>Esta revisão sistemática sintetizou as evidências sobre estados de humor em atletas e praticantes de handebol, com pergunta estruturada pelo acrônimo PCC (população, conceito e contexto). Oito bases foram consultadas, sem restrição de data, entre maio e setembro de 2026, além das listas de referências e da revisão de mapeamento paralela, com atualização em outubro de 2026 (PubMed, Europe PMC, Crossref, Semantic Scholar, Dialnet e busca de citações). Seleção, extração e avaliação da qualidade (seis itens) seguiram critérios explícitos. Triados 689 registros na versão inicial e 724 na atualização, incluíram-se 36 estudos (38 relatórios), publicados entre 2008 e 2026, dez deles oriundos da atualização. A produção concentrou-se na Espanha (8 estudos), na Tunísia (5) e no Brasil (5), com predomínio de amostras femininas (16 estudos) e mediana de 25 participantes. O Profile of Mood States e suas versões foram empregados em 18 estudos. O humor foi relacionado sobretudo a variáveis psicológicas, intervenções verbais ou psicológicas, marcadores biológicos e carga de treino. O encorajamento verbal e o feedback modificaram o humor na prática, a vitória em jogo oficial associou-se a humor mais positivo, e o prazer no treino acompanhou a carga física. O humor oscilou com o horário do dia e com a carga, com resultados divergentes quanto à fase do ciclo menstrual, e a dieta personalizada e a suplementação tiveram efeitos inconsistentes. A qualidade foi alta em 18 estudos, moderada em 14 e baixa em 4. O humor responde à carga, ao contexto competitivo e à interação com treinador e colegas, mas a evidência é escassa, heterogênea em instrumento e momento da medida e raramente experimental, o que impede a síntese quantitativa.</w:t>
      </w:r>
    </w:p>
    <w:p>
      <w:pPr>
        <w:spacing w:before="120" w:after="360" w:line="240" w:lineRule="auto"/>
        <w:ind w:left="0" w:firstLine="0"/>
        <w:jc w:val="both"/>
      </w:pPr>
      <w:r>
        <w:rPr>
          <w:rFonts w:ascii="Times New Roman" w:hAnsi="Times New Roman"/>
          <w:b/>
          <w:sz w:val="24"/>
        </w:rPr>
        <w:t>Palavras-chave:</w:t>
      </w:r>
      <w:r>
        <w:rPr>
          <w:rFonts w:ascii="Times New Roman" w:hAnsi="Times New Roman"/>
          <w:i w:val="0"/>
          <w:sz w:val="24"/>
        </w:rPr>
        <w:t xml:space="preserve"> handebol; estados de humor; afeto; psicologia do esporte; revisão sistemática.</w:t>
      </w:r>
    </w:p>
    <w:p>
      <w:pPr>
        <w:spacing w:before="0" w:after="120" w:line="240" w:lineRule="auto"/>
        <w:ind w:left="0" w:firstLine="0"/>
        <w:jc w:val="center"/>
      </w:pPr>
      <w:r>
        <w:rPr>
          <w:rFonts w:ascii="Times New Roman" w:hAnsi="Times New Roman"/>
          <w:b/>
          <w:sz w:val="24"/>
        </w:rPr>
        <w:t>ABSTRACT</w:t>
      </w:r>
    </w:p>
    <w:p>
      <w:pPr>
        <w:spacing w:before="0" w:after="0" w:line="240" w:lineRule="auto"/>
        <w:ind w:left="0" w:firstLine="0"/>
        <w:jc w:val="both"/>
      </w:pPr>
      <w:r>
        <w:rPr>
          <w:rFonts w:ascii="Times New Roman" w:hAnsi="Times New Roman"/>
          <w:i w:val="0"/>
          <w:sz w:val="24"/>
        </w:rPr>
        <w:t>This systematic review synthesised the evidence on mood states in handball athletes and practitioners, with the question structured by the PCC framework (population, concept and context). Eight databases were searched without date restrictions between May and September 2026, supplemented by reference lists and a parallel mapping review, and updated in October 2026 (PubMed, Europe PMC, Crossref, Semantic Scholar, Dialnet and citation searching). Selection, extraction and quality appraisal (six items) followed explicit criteria. Screening of 689 records in the original version and 724 in the update yielded 36 studies (38 reports) published between 2008 and 2026, ten of them from the update. Research was concentrated in Spain (8 studies), Tunisia (5) and Brazil (5), with predominantly female samples (16 studies) and a median of 25 participants. The Profile of Mood States and its versions were used in 18 studies. Mood was related mainly to psychological variables, verbal or psychological interventions, biological markers and training load. Verbal encouragement and feedback changed mood during practice, winning an official match was associated with more positive mood, and pleasure during training tracked physical load. Mood varied with time of day and load, with divergent findings for menstrual cycle phase, and personalised diets and supplementation had inconsistent effects. Quality was high in 18 studies, moderate in 14 and low in 4. Mood responds to load, competitive context and interaction with coaches and teammates, but the evidence is scarce, heterogeneous in instrument and timing of measurement and rarely experimental, which precludes quantitative synthesis.</w:t>
      </w:r>
    </w:p>
    <w:p>
      <w:pPr>
        <w:spacing w:before="120" w:after="240" w:line="240" w:lineRule="auto"/>
        <w:ind w:left="0" w:firstLine="0"/>
        <w:jc w:val="both"/>
      </w:pPr>
      <w:r>
        <w:rPr>
          <w:rFonts w:ascii="Times New Roman" w:hAnsi="Times New Roman"/>
          <w:b/>
          <w:sz w:val="24"/>
        </w:rPr>
        <w:t>Keywords:</w:t>
      </w:r>
      <w:r>
        <w:rPr>
          <w:rFonts w:ascii="Times New Roman" w:hAnsi="Times New Roman"/>
          <w:i w:val="0"/>
          <w:sz w:val="24"/>
        </w:rPr>
        <w:t xml:space="preserve"> handball; mood states; affect; sport psychology; systematic review.</w:t>
      </w:r>
    </w:p>
    <w:p>
      <w:pPr>
        <w:keepNext/>
        <w:spacing w:before="240" w:after="240" w:line="360" w:lineRule="auto"/>
        <w:ind w:left="0" w:firstLine="0"/>
        <w:jc w:val="left"/>
      </w:pPr>
      <w:r>
        <w:rPr>
          <w:rFonts w:ascii="Times New Roman" w:hAnsi="Times New Roman"/>
          <w:b/>
          <w:sz w:val="24"/>
        </w:rPr>
        <w:t>1 INTRODUÇÃO</w:t>
      </w:r>
    </w:p>
    <w:p>
      <w:pPr>
        <w:spacing w:before="0" w:after="0" w:line="360" w:lineRule="auto"/>
        <w:ind w:left="0" w:firstLine="709"/>
        <w:jc w:val="both"/>
      </w:pPr>
      <w:r>
        <w:rPr>
          <w:rFonts w:ascii="Times New Roman" w:hAnsi="Times New Roman"/>
          <w:i w:val="0"/>
          <w:sz w:val="24"/>
        </w:rPr>
        <w:t>O estado de humor designa uma disposição afetiva difusa, de intensidade moderada e duração variável, que persiste além do evento desencadeador e influencia a avaliação dos acontecimentos subsequentes (BEEDIE; TERRY; LANE, 2005; LAZARUS, 2000). Essa propriedade distingue o humor da emoção, que responde a um objeto identificável e se extingue com ele, e justifica sua medida em dimensões separadas, como tensão, depressão, raiva, vigor, fadiga e confusão, em vez de um escore único de bem-estar (LANE; TERRY, 2000; MEYERS; TAMIR, 2024). Na atividade física, distingue-se ainda a resposta afetiva ao exercício do afeto incidental, sem relação com o comportamento-alvo (STEVENS et al., 2020), e o modelo circumplexo avalia a valência e a ativação afetivas, embora com inconsistências quanto aos momentos e aos métodos de medida (EVMENENKO; TEIXEIRA, 2022).</w:t>
      </w:r>
    </w:p>
    <w:p>
      <w:pPr>
        <w:spacing w:before="0" w:after="0" w:line="360" w:lineRule="auto"/>
        <w:ind w:left="0" w:firstLine="709"/>
        <w:jc w:val="both"/>
      </w:pPr>
      <w:r>
        <w:rPr>
          <w:rFonts w:ascii="Times New Roman" w:hAnsi="Times New Roman"/>
          <w:i w:val="0"/>
          <w:sz w:val="24"/>
        </w:rPr>
        <w:t>O modelo conceitual proposto por Lane e Terry (2000) situou a depressão no centro da estrutura do humor e propôs que ela modera a relação das demais dimensões, como a raiva e a tensão, com o desempenho, o que deslocou a interpretação do escore isolado para a configuração do perfil. Atualizações recentes desse modelo identificaram, por análise de agrupamentos, seis perfis distintos de humor, denominados iceberg, iceberg invertido, Everest invertido, barbatana de tubarão, superfície e submerso, cuja prevalência variou com o sexo, a idade e a escolaridade (TERRY et al., 2021). As normas da Brunel Mood Scale foram revistas com mais de 15 mil respondentes e passaram a distinguir o sexo e a condição de atleta (TERRY; PARSONS-SMITH, 2021). Em amostra finlandesa, os atletas estiveram sobrerrepresentados no perfil iceberg invertido, e as mulheres, nos perfis Everest invertido e barbatana de tubarão, ambos associados a riscos para a saúde mental (LUOJUMÄKI et al., 2026). A abordagem por perfis reforça, assim, a necessidade de considerar o sexo e o nível competitivo na interpretação dos escores.</w:t>
      </w:r>
    </w:p>
    <w:p>
      <w:pPr>
        <w:spacing w:before="0" w:after="0" w:line="360" w:lineRule="auto"/>
        <w:ind w:left="0" w:firstLine="709"/>
        <w:jc w:val="both"/>
      </w:pPr>
      <w:r>
        <w:rPr>
          <w:rFonts w:ascii="Times New Roman" w:hAnsi="Times New Roman"/>
          <w:i w:val="0"/>
          <w:sz w:val="24"/>
        </w:rPr>
        <w:t>Nos esportes coletivos, o humor individual não se forma isoladamente. As emoções vividas na competição podem transferir-se entre os membros da equipe e gerar estados emocionais coletivos, e, em duplas de tênis de mesa, verificou-se convergência da alegria, do desânimo e da raiva entre os parceiros (FREEMANTLE et al., 2022). No futebol, as emoções coletivas da equipe após o jogo associaram-se fortemente às emoções de cada jogador, mais do que a suscetibilidade individual ao contágio emocional (RUMBOLD et al., 2022). Em participantes amadores de cross-fit, a indução de estado agradável e de alta ativação por colegas treinados resultou em maior esforço, eficácia coletiva, coesão e desempenho do que a indução de estado desagradável e de baixa ativação (ELDADI; SHARON-DAVID; TENENBAUM, 2023). Nas equipes, a distinção entre humor e emoção ganha, portanto, uma camada adicional, pois emoções compartilhadas em episódios do jogo podem contribuir para disposições afetivas mais duradouras do grupo.</w:t>
      </w:r>
    </w:p>
    <w:p>
      <w:pPr>
        <w:spacing w:before="0" w:after="0" w:line="360" w:lineRule="auto"/>
        <w:ind w:left="0" w:firstLine="709"/>
        <w:jc w:val="both"/>
      </w:pPr>
      <w:r>
        <w:rPr>
          <w:rFonts w:ascii="Times New Roman" w:hAnsi="Times New Roman"/>
          <w:i w:val="0"/>
          <w:sz w:val="24"/>
        </w:rPr>
        <w:t>No esporte, o humor situa-se entre a resposta transitória à carga e o sinal precoce de sofrimento mental, condição que o tornou indicador de bem-estar e de tolerância ao treinamento (GOUTTEBARGE et al., 2019; REARDON et al., 2019; TERRY; PARSONS-SMITH, 2021). O consenso atualizado do Comitê Olímpico Internacional reafirmou que sintomas e transtornos mentais são comuns em atletas de elite e podem afetar o desempenho, e recomendou seu monitoramento rotineiro com instrumentos validados (REARDON et al., 2026). Nessa população, as prevalências de sintomas autorrelatados variaram de 4%, para o uso indevido de drogas, a 33%, para o sofrimento psíquico (GOUTTEBARGE et al., 2026).</w:t>
      </w:r>
    </w:p>
    <w:p>
      <w:pPr>
        <w:spacing w:before="0" w:after="0" w:line="360" w:lineRule="auto"/>
        <w:ind w:left="0" w:firstLine="709"/>
        <w:jc w:val="both"/>
      </w:pPr>
      <w:r>
        <w:rPr>
          <w:rFonts w:ascii="Times New Roman" w:hAnsi="Times New Roman"/>
          <w:i w:val="0"/>
          <w:sz w:val="24"/>
        </w:rPr>
        <w:t>A função do humor no monitoramento originou-se de um problema aplicado. O acompanhamento psicométrico de atletas submetidos a variação programada da carga mostrou que a perturbação do perfil de humor acompanha o aumento da carga e regride com a recuperação (MORGAN et al., 1987; RAGLIN, 2001). A consolidação instrumental ocorreu depois, com valores normativos para amostras atléticas (TERRY; LANE, 2000), a versão abreviada validada para adultos, a Brunel Mood Scale (TERRY; LANE; FOGARTY, 2003), sua adaptação brasileira (ROHLFS et al., 2008) e validações transculturais recentes (HAN; PARSONS-SMITH; TERRY, 2020; TERRY et al., 2022; VLACHOPOULOS; LANE; TERRY, 2023). Outras famílias de instrumentos ocupam espaços próprios, como as escalas de afeto positivo e negativo (WATSON; CLARK; TELLEGEN, 1988) e as escalas de valência afetiva durante o esforço (EKKEKAKIS; BRAND, 2019; HARDY; REJESKI, 1989), e tratá-las como equivalentes compromete a síntese. No monitoramento da carga, as medidas autorrelatadas de humor e de recuperação mostraram-se mais sensíveis que muitos marcadores objetivos (KELLMANN et al., 2018; SAW; MAIN; GASTIN, 2016). Os itens únicos mais usados na ciência do esporte, contudo, não foram validados (JEFFRIES et al., 2020), e os métodos de amostragem de experiência surgem como alternativa que reduz o viés retrospectivo (MAJER et al., 2026).</w:t>
      </w:r>
    </w:p>
    <w:p>
      <w:pPr>
        <w:spacing w:before="0" w:after="0" w:line="360" w:lineRule="auto"/>
        <w:ind w:left="0" w:firstLine="709"/>
        <w:jc w:val="both"/>
      </w:pPr>
      <w:r>
        <w:rPr>
          <w:rFonts w:ascii="Times New Roman" w:hAnsi="Times New Roman"/>
          <w:i w:val="0"/>
          <w:sz w:val="24"/>
        </w:rPr>
        <w:t>A relação entre humor e desempenho, por sua vez, permanece em debate. Metanálises clássicas e recentes associaram vigor elevado e baixos escores de tensão, depressão, raiva, fadiga e confusão a melhor desempenho, com efeitos de magnitude pequena a moderada, dependentes do tipo de esporte e do momento da medida (BEEDIE; TERRY; LANE, 2000; LOCHBAUM et al., 2021). Em síntese de 30 metanálises, variáveis consideradas prejudiciais, como a ansiedade cognitiva e a depressão, tiveram efeito negativo pequeno sobre o desempenho (d = −0,21) (LOCHBAUM et al., 2022). Os perfis de humor ampliaram o uso aplicado da medida e revelaram padrões de risco em atletas de elite e de formação (DE MIRANDA ROHLFS et al., 2024; PARSONS-SMITH; TERRY; MACHIN, 2017), mas o humor como sinal de sobrecarga carece de confirmação: nenhum estudo documentou a transição até a síndrome de overtraining com evidência objetiva de queda prolongada do desempenho (WEAKLEY; HALSON; MUJIKA, 2022). Em contrapartida, intervenções sobre o sono, por exemplo, produzem efeitos mensuráveis no humor de atletas (GWYTHER et al., 2022).</w:t>
      </w:r>
    </w:p>
    <w:p>
      <w:pPr>
        <w:spacing w:before="0" w:after="0" w:line="360" w:lineRule="auto"/>
        <w:ind w:left="0" w:firstLine="709"/>
        <w:jc w:val="both"/>
      </w:pPr>
      <w:r>
        <w:rPr>
          <w:rFonts w:ascii="Times New Roman" w:hAnsi="Times New Roman"/>
          <w:i w:val="0"/>
          <w:sz w:val="24"/>
        </w:rPr>
        <w:t>No handebol, essas questões assumem forma específica. A modalidade é intermitente, de alta intensidade e de contato constante (MICHALSIK; AAGAARD; MADSEN, 2012; PÓVOAS et al., 2012), com perfis físicos e técnicos distintos entre armadores, pontas e pivôs (GARCÍA-SÁNCHEZ et al., 2023) e demandas que variam conforme a posição e o sistema defensivo (SAAL et al., 2026; WAGNER; RADIC; HINZ, 2025). No handebol de praia juvenil, as medidas objetivas e subjetivas de carga interna relacionaram-se com a carga externa (IANNACCONE et al., 2022). O regulamento impõe situações de pressão contínua, como o ataque com goleiro substituído (GÜMÜŞ; GENÇOĞLU, 2020; MACEDO et al., 2025), cujo uso depende do placar e do momento do jogo (PRUDENTE et al., 2024), a inferioridade numérica nas exclusões (TREJO-SILVA et al., 2025) e o tempo técnico em jogos equilibrados (JETZKE; WINTER, 2022), e o jogador decide em frações de segundo sob oposição direta do adversário (HINZ et al., 2022; RAAB; JOHNSON, 2007). Além disso, o clima criado pelo treinador e as interações do grupo modulam as emoções dos atletas (ROBAZZA et al., 2022; TAMMINEN et al., 2019). Em handebolistas jovens, o comportamento controlador percebido do treinador predisse mais ansiedade (WANG et al., 2024), e o clima orientado à tarefa associou-se a menos sintomas de ansiedade, depressão e estresse (GREBLO JURAKIĆ; BOJIĆ-ĆAĆIĆ; LJUBIČIĆ, 2026); em jogadores de elite, a intervenção baseada em mindfulness reduziu a frustração percebida (STAIANO et al., 2026). Nesse cenário, o humor interessa tanto como resposta à carga física e ao calendário quanto como estado que antecede e acompanha decisões sob pressão.</w:t>
      </w:r>
    </w:p>
    <w:p>
      <w:pPr>
        <w:spacing w:before="0" w:after="0" w:line="360" w:lineRule="auto"/>
        <w:ind w:left="0" w:firstLine="709"/>
        <w:jc w:val="both"/>
      </w:pPr>
      <w:r>
        <w:rPr>
          <w:rFonts w:ascii="Times New Roman" w:hAnsi="Times New Roman"/>
          <w:i w:val="0"/>
          <w:sz w:val="24"/>
        </w:rPr>
        <w:t>Essas exigências acumulam-se ao longo da temporada. Em jogadores da primeira divisão alemã, as semanas com dois ou mais jogos não alteraram a carga semanal absoluta, mas ampliaram a variação interindividual da carga acumulada, com discrepâncias entre armadores e pontas ligadas ao tempo de jogo e à função (BÜCHEL; DÖRING; BAUMEISTER, 2026). A fadiga aguda mostrou tendência pequena a moderada de reduzir a velocidade do arremesso, com prejuízos mais consistentes no arremesso em suspensão (HADJISAVVAS et al., 2026). Nas categorias de base, a incidência de lesões no maior torneio juvenil da modalidade aumentou progressivamente ao longo de seis dias consecutivos de competição (LINDMAN; ABRAHAMSON, 2026). Em jogadoras universitárias, quatro jogos de um torneio elevaram o cortisol e reduziram o fator de crescimento semelhante à insulina tipo 1 (IGF-1), perfil compatível com ativação do eixo hipotálamo-hipófise-adrenal e com ambiente hormonal catabólico (PANCAR et al., 2026). Como o humor acompanha a carga e a recuperação (MORGAN et al., 1987; SAW; MAIN; GASTIN, 2016), a soma de contato físico, intermitência, decisões sob pressão temporal, situações regulamentares de pressão, como as exclusões e o ataque com goleiro substituído, e calendário comprimido torna plausível que o estado afetivo do jogador de handebol oscile em intervalos curtos. Essa plausibilidade justifica a atenção específica às categorias de base e ao handebol feminino, em que as respostas à carga competitiva ainda são pouco caracterizadas (LINDMAN; ABRAHAMSON, 2026; PANCAR et al., 2026).</w:t>
      </w:r>
    </w:p>
    <w:p>
      <w:pPr>
        <w:spacing w:before="0" w:after="0" w:line="360" w:lineRule="auto"/>
        <w:ind w:left="0" w:firstLine="709"/>
        <w:jc w:val="both"/>
      </w:pPr>
      <w:r>
        <w:rPr>
          <w:rFonts w:ascii="Times New Roman" w:hAnsi="Times New Roman"/>
          <w:i w:val="0"/>
          <w:sz w:val="24"/>
        </w:rPr>
        <w:t>Apesar dessa relevância, a evidência sobre humor no handebol permanece dispersa. A revisão de mapeamento conduzida em paralelo por esta equipe identificou o humor e o afeto entre os domínios psicológicos investigados na modalidade, com estudos que relacionaram o humor ao horário do dia (ESSID et al., 2022), ao ciclo menstrual (MIRALLES-AMORÓS et al., 2023), à carga da temporada (BATALLA-GAVALDA et al., 2025) e ao estado endócrino (RATZ-SULYOK et al., 2026b). Há revisões sobre humor em contextos específicos, como a perda rápida de peso no judô (LAKICEVIC et al., 2024) e o futebol (SELMI et al., 2023), mas não foram identificadas revisões que reúnam, com critérios explícitos, a evidência sobre estados de humor em atletas de handebol nem que avaliem a qualidade metodológica desses estudos.</w:t>
      </w:r>
    </w:p>
    <w:p>
      <w:pPr>
        <w:spacing w:before="0" w:after="0" w:line="360" w:lineRule="auto"/>
        <w:ind w:left="0" w:firstLine="709"/>
        <w:jc w:val="both"/>
      </w:pPr>
      <w:r>
        <w:rPr>
          <w:rFonts w:ascii="Times New Roman" w:hAnsi="Times New Roman"/>
          <w:i w:val="0"/>
          <w:sz w:val="24"/>
        </w:rPr>
        <w:t>As revisões sobre esportes coletivos tampouco preenchem essa lacuna. A revisão sistemática sobre o efeito dessas modalidades na saúde mental de adultos sem transtornos diagnosticados reuniu seis estudos, com efeitos inconsistentes sobre a ansiedade e o humor e fortemente influenciados pelo contexto da intervenção (RODRIGUES ROCHA et al., 2026), mas tratou o esporte coletivo como meio de promoção da saúde, e não como contexto de rendimento. No voleibol, a revisão sobre estresse do treinamento, fadiga e bem-estar recomendou o uso diário do índice de Hooper, que reúne bem-estar, fadiga, estresse, dor muscular, humor e qualidade do sono (REBELO et al., 2024), o que ilustra como o humor costuma aparecer diluído em escores compostos. No hóquei no gelo, a revisão de escopo sobre o bem-estar de atletas de elite organizou os achados em sintomas de ansiedade e depressão, variáveis motivacionais e estratégias de enfrentamento, categorias que não incluíram os estados de humor como eixo próprio (VEILLETTE et al., 2025). No próprio handebol, o protocolo de revisão sobre o monitoramento de atletas incluiu o bem-estar entre os desfechos, mas antecipou número limitado de estudos elegíveis e dados muito heterogêneos (HENZE et al., 2025). Uma síntese específica acrescenta, portanto, três elementos: separa o humor de construtos vizinhos, como o afeto e o bem-estar; organiza os achados segundo o instrumento, o momento da medida e o contexto de treino ou de competição; e avalia a qualidade metodológica de um corpo de evidência pequeno e disperso, condição prévia para recomendações aplicadas à modalidade.</w:t>
      </w:r>
    </w:p>
    <w:p>
      <w:pPr>
        <w:spacing w:before="0" w:after="0" w:line="360" w:lineRule="auto"/>
        <w:ind w:left="0" w:firstLine="709"/>
        <w:jc w:val="both"/>
      </w:pPr>
      <w:r>
        <w:rPr>
          <w:rFonts w:ascii="Times New Roman" w:hAnsi="Times New Roman"/>
          <w:i w:val="0"/>
          <w:sz w:val="24"/>
        </w:rPr>
        <w:t xml:space="preserve">Diante dessa lacuna, formulou-se a seguinte pergunta de pesquisa, estruturada segundo o acrônimo PCC (população, conceito e contexto) (MUNN et al., 2018b; PETERS et al., 2020): </w:t>
      </w:r>
      <w:r>
        <w:rPr>
          <w:rFonts w:ascii="Times New Roman" w:hAnsi="Times New Roman"/>
          <w:i/>
          <w:sz w:val="24"/>
        </w:rPr>
        <w:t>como os estados de humor foram medidos em atletas e praticantes de handebol (população) e quais resultados foram relatados sobre o humor e as variáveis a ele relacionadas (conceito) nos contextos de treinamento e de competição (contexto)?</w:t>
      </w:r>
      <w:r>
        <w:rPr>
          <w:rFonts w:ascii="Times New Roman" w:hAnsi="Times New Roman"/>
          <w:i w:val="0"/>
          <w:sz w:val="24"/>
        </w:rPr>
        <w:t xml:space="preserve"> O objetivo geral foi sintetizar sistematicamente as evidências sobre os estados de humor em atletas de handebol e avaliar a qualidade metodológica dos estudos. Para tanto, foram definidas cinco questões de pesquisa (QP):</w:t>
      </w:r>
    </w:p>
    <w:p>
      <w:pPr>
        <w:spacing w:before="0" w:after="0" w:line="360" w:lineRule="auto"/>
        <w:ind w:left="0" w:firstLine="709"/>
        <w:jc w:val="both"/>
      </w:pPr>
      <w:r>
        <w:rPr>
          <w:rFonts w:ascii="Times New Roman" w:hAnsi="Times New Roman"/>
          <w:b/>
          <w:sz w:val="24"/>
        </w:rPr>
        <w:t>QP1.</w:t>
      </w:r>
      <w:r>
        <w:rPr>
          <w:rFonts w:ascii="Times New Roman" w:hAnsi="Times New Roman"/>
          <w:i w:val="0"/>
          <w:sz w:val="24"/>
        </w:rPr>
        <w:t xml:space="preserve"> Quais são as características dos estudos que investigaram o humor no handebol e de suas populações?</w:t>
      </w:r>
    </w:p>
    <w:p>
      <w:pPr>
        <w:spacing w:before="0" w:after="0" w:line="360" w:lineRule="auto"/>
        <w:ind w:left="0" w:firstLine="709"/>
        <w:jc w:val="both"/>
      </w:pPr>
      <w:r>
        <w:rPr>
          <w:rFonts w:ascii="Times New Roman" w:hAnsi="Times New Roman"/>
          <w:b/>
          <w:sz w:val="24"/>
        </w:rPr>
        <w:t>QP2.</w:t>
      </w:r>
      <w:r>
        <w:rPr>
          <w:rFonts w:ascii="Times New Roman" w:hAnsi="Times New Roman"/>
          <w:i w:val="0"/>
          <w:sz w:val="24"/>
        </w:rPr>
        <w:t xml:space="preserve"> Com quais instrumentos, em quais dimensões e em que momentos o humor foi medido?</w:t>
      </w:r>
    </w:p>
    <w:p>
      <w:pPr>
        <w:spacing w:before="0" w:after="0" w:line="360" w:lineRule="auto"/>
        <w:ind w:left="0" w:firstLine="709"/>
        <w:jc w:val="both"/>
      </w:pPr>
      <w:r>
        <w:rPr>
          <w:rFonts w:ascii="Times New Roman" w:hAnsi="Times New Roman"/>
          <w:b/>
          <w:sz w:val="24"/>
        </w:rPr>
        <w:t>QP3.</w:t>
      </w:r>
      <w:r>
        <w:rPr>
          <w:rFonts w:ascii="Times New Roman" w:hAnsi="Times New Roman"/>
          <w:i w:val="0"/>
          <w:sz w:val="24"/>
        </w:rPr>
        <w:t xml:space="preserve"> A que variáveis o humor foi relacionado (carga, recuperação, desempenho, marcadores biológicos, variáveis psicológicas, lesão e ciclo menstrual) e com que resultados?</w:t>
      </w:r>
    </w:p>
    <w:p>
      <w:pPr>
        <w:spacing w:before="0" w:after="0" w:line="360" w:lineRule="auto"/>
        <w:ind w:left="0" w:firstLine="709"/>
        <w:jc w:val="both"/>
      </w:pPr>
      <w:r>
        <w:rPr>
          <w:rFonts w:ascii="Times New Roman" w:hAnsi="Times New Roman"/>
          <w:b/>
          <w:sz w:val="24"/>
        </w:rPr>
        <w:t>QP4.</w:t>
      </w:r>
      <w:r>
        <w:rPr>
          <w:rFonts w:ascii="Times New Roman" w:hAnsi="Times New Roman"/>
          <w:i w:val="0"/>
          <w:sz w:val="24"/>
        </w:rPr>
        <w:t xml:space="preserve"> Quais intervenções foram testadas sobre o humor e com que efeitos?</w:t>
      </w:r>
    </w:p>
    <w:p>
      <w:pPr>
        <w:spacing w:before="0" w:after="0" w:line="360" w:lineRule="auto"/>
        <w:ind w:left="0" w:firstLine="709"/>
        <w:jc w:val="both"/>
      </w:pPr>
      <w:r>
        <w:rPr>
          <w:rFonts w:ascii="Times New Roman" w:hAnsi="Times New Roman"/>
          <w:b/>
          <w:sz w:val="24"/>
        </w:rPr>
        <w:t>QP5.</w:t>
      </w:r>
      <w:r>
        <w:rPr>
          <w:rFonts w:ascii="Times New Roman" w:hAnsi="Times New Roman"/>
          <w:i w:val="0"/>
          <w:sz w:val="24"/>
        </w:rPr>
        <w:t xml:space="preserve"> Qual é a qualidade metodológica dos estudos e quais lacunas persistem?</w:t>
      </w:r>
    </w:p>
    <w:p>
      <w:pPr>
        <w:keepNext/>
        <w:spacing w:before="240" w:after="240" w:line="360" w:lineRule="auto"/>
        <w:ind w:left="0" w:firstLine="0"/>
        <w:jc w:val="left"/>
      </w:pPr>
      <w:r>
        <w:rPr>
          <w:rFonts w:ascii="Times New Roman" w:hAnsi="Times New Roman"/>
          <w:b/>
          <w:sz w:val="24"/>
        </w:rPr>
        <w:t>2 MÉTODO</w:t>
      </w:r>
    </w:p>
    <w:p>
      <w:pPr>
        <w:keepNext/>
        <w:spacing w:before="240" w:after="120" w:line="360" w:lineRule="auto"/>
        <w:ind w:left="0" w:firstLine="0"/>
        <w:jc w:val="left"/>
      </w:pPr>
      <w:r>
        <w:rPr>
          <w:rFonts w:ascii="Times New Roman" w:hAnsi="Times New Roman"/>
          <w:b/>
          <w:sz w:val="24"/>
        </w:rPr>
        <w:t>2.1 Delineamento e diretrizes</w:t>
      </w:r>
    </w:p>
    <w:p>
      <w:pPr>
        <w:spacing w:before="0" w:after="0" w:line="360" w:lineRule="auto"/>
        <w:ind w:left="0" w:firstLine="709"/>
        <w:jc w:val="both"/>
      </w:pPr>
      <w:r>
        <w:rPr>
          <w:rFonts w:ascii="Times New Roman" w:hAnsi="Times New Roman"/>
          <w:i w:val="0"/>
          <w:sz w:val="24"/>
        </w:rPr>
        <w:t>Trata-se de revisão sistemática conduzida segundo o guia de Galvão e Ricarte (2019) e relatada conforme o PRISMA 2020 (PAGE et al., 2021). A pergunta foi estruturada pelo acrônimo PCC, recomendado para perguntas descritivas, de medida e de caracterização, nas quais não há intervenção atribuída nem comparação obrigatória (MUNN et al., 2018b; PETERS et al., 2020). A opção por revisão sistemática, e não de escopo, seguiu o critério de Munn et al. (2018a): a pergunta trata de um construto específico, medido em um conjunto delimitado de estudos, com avaliação da qualidade metodológica. Nesta versão atualizada, o fluxo de seleção segue o modelo do PRISMA 2020 para atualizações, que distingue os estudos da versão anterior dos identificados na nova busca (PAGE et al., 2021). A revisão compartilhou a infraestrutura de busca e de registro da revisão de mapeamento conduzida em paralelo, mas não seus critérios de elegibilidade. O protocolo foi redigido antes da busca, e declara-se que o registro prospectivo no PROSPERO não foi concluído.</w:t>
      </w:r>
    </w:p>
    <w:p>
      <w:pPr>
        <w:keepNext/>
        <w:spacing w:before="120" w:after="60" w:line="240" w:lineRule="auto"/>
        <w:ind w:left="0" w:firstLine="0"/>
        <w:jc w:val="both"/>
      </w:pPr>
      <w:r>
        <w:rPr>
          <w:rFonts w:ascii="Times New Roman" w:hAnsi="Times New Roman"/>
          <w:b/>
          <w:sz w:val="20"/>
        </w:rPr>
        <w:t>Quadro 1</w:t>
      </w:r>
      <w:r>
        <w:rPr>
          <w:rFonts w:ascii="Times New Roman" w:hAnsi="Times New Roman"/>
          <w:i w:val="0"/>
          <w:sz w:val="20"/>
        </w:rPr>
        <w:t xml:space="preserve"> – Estrutura da pergunta de pesquisa segundo o acrônimo PCC</w:t>
      </w:r>
    </w:p>
    <w:tbl>
      <w:tblPr>
        <w:jc w:val="center"/>
        <w:tblLayout w:type="fixed"/>
        <w:tblLook w:firstColumn="1" w:firstRow="1" w:lastColumn="0" w:lastRow="0" w:noHBand="0" w:noVBand="1" w:val="04A0"/>
        <w:tblW w:w="9072" w:type="dxa"/>
        <w:tblLayout w:type="fixed"/>
      </w:tblPr>
      <w:tblGrid>
        <w:gridCol w:w="1814"/>
        <w:gridCol w:w="7257"/>
      </w:tblGrid>
      <w:tr>
        <w:trPr>
          <w:tblHeader w:val="true"/>
        </w:trPr>
        <w:tc>
          <w:tcPr>
            <w:tcW w:w="1814" w:type="dxa"/>
            <w:tcBorders>
              <w:top w:val="single" w:sz="8" w:color="000000"/>
              <w:left w:val="single" w:sz="4" w:color="000000"/>
              <w:bottom w:val="single" w:sz="6" w:color="000000"/>
              <w:right w:val="single" w:sz="4" w:color="000000"/>
            </w:tcBorders>
          </w:tcPr>
          <w:p>
            <w:pPr>
              <w:spacing w:lineRule="exact" w:line="230"/>
              <w:jc w:val="center"/>
            </w:pPr>
            <w:r>
              <w:rPr>
                <w:rFonts w:ascii="Times New Roman" w:hAnsi="Times New Roman"/>
                <w:b/>
                <w:sz w:val="20"/>
              </w:rPr>
              <w:t>Elemento</w:t>
            </w:r>
          </w:p>
        </w:tc>
        <w:tc>
          <w:tcPr>
            <w:tcW w:w="7257" w:type="dxa"/>
            <w:tcBorders>
              <w:top w:val="single" w:sz="8" w:color="000000"/>
              <w:left w:val="single" w:sz="4" w:color="000000"/>
              <w:bottom w:val="single" w:sz="6" w:color="000000"/>
              <w:right w:val="single" w:sz="4" w:color="000000"/>
            </w:tcBorders>
          </w:tcPr>
          <w:p>
            <w:pPr>
              <w:spacing w:lineRule="exact" w:line="230"/>
              <w:jc w:val="center"/>
            </w:pPr>
            <w:r>
              <w:rPr>
                <w:rFonts w:ascii="Times New Roman" w:hAnsi="Times New Roman"/>
                <w:b/>
                <w:sz w:val="20"/>
              </w:rPr>
              <w:t>Definição nesta revisão</w:t>
            </w:r>
          </w:p>
        </w:tc>
      </w:tr>
      <w:tr>
        <w:tc>
          <w:tcPr>
            <w:tcW w:w="1814" w:type="dxa"/>
            <w:tcBorders>
              <w:top w:val="single" w:sz="4" w:color="000000"/>
              <w:left w:val="single" w:sz="4" w:color="000000"/>
              <w:bottom w:val="single" w:sz="4" w:color="000000"/>
              <w:right w:val="single" w:sz="4" w:color="000000"/>
            </w:tcBorders>
          </w:tcPr>
          <w:p>
            <w:pPr>
              <w:spacing w:lineRule="exact" w:line="230" w:before="20" w:after="20"/>
              <w:jc w:val="left"/>
            </w:pPr>
            <w:r>
              <w:rPr>
                <w:rFonts w:ascii="Times New Roman" w:hAnsi="Times New Roman"/>
                <w:i w:val="0"/>
                <w:sz w:val="20"/>
              </w:rPr>
              <w:t>P: População</w:t>
            </w:r>
          </w:p>
        </w:tc>
        <w:tc>
          <w:tcPr>
            <w:tcW w:w="7257" w:type="dxa"/>
            <w:tcBorders>
              <w:top w:val="single" w:sz="4" w:color="000000"/>
              <w:left w:val="single" w:sz="4" w:color="000000"/>
              <w:bottom w:val="single" w:sz="4" w:color="000000"/>
              <w:right w:val="single" w:sz="4" w:color="000000"/>
            </w:tcBorders>
          </w:tcPr>
          <w:p>
            <w:pPr>
              <w:spacing w:lineRule="exact" w:line="230" w:before="20" w:after="20"/>
              <w:jc w:val="left"/>
            </w:pPr>
            <w:r>
              <w:rPr>
                <w:rFonts w:ascii="Times New Roman" w:hAnsi="Times New Roman"/>
                <w:i w:val="0"/>
                <w:sz w:val="20"/>
              </w:rPr>
              <w:t>Atletas e praticantes de handebol de quadra, de praia ou em cadeira de rodas, de qualquer sexo, idade e nível competitivo; amostras multiesporte apenas com dados do handebol separáveis</w:t>
            </w:r>
          </w:p>
        </w:tc>
      </w:tr>
      <w:tr>
        <w:tc>
          <w:tcPr>
            <w:tcW w:w="1814" w:type="dxa"/>
            <w:tcBorders>
              <w:top w:val="single" w:sz="4" w:color="000000"/>
              <w:left w:val="single" w:sz="4" w:color="000000"/>
              <w:bottom w:val="single" w:sz="4" w:color="000000"/>
              <w:right w:val="single" w:sz="4" w:color="000000"/>
            </w:tcBorders>
          </w:tcPr>
          <w:p>
            <w:pPr>
              <w:spacing w:lineRule="exact" w:line="230" w:before="20" w:after="20"/>
              <w:jc w:val="left"/>
            </w:pPr>
            <w:r>
              <w:rPr>
                <w:rFonts w:ascii="Times New Roman" w:hAnsi="Times New Roman"/>
                <w:i w:val="0"/>
                <w:sz w:val="20"/>
              </w:rPr>
              <w:t>C: Conceito</w:t>
            </w:r>
          </w:p>
        </w:tc>
        <w:tc>
          <w:tcPr>
            <w:tcW w:w="7257" w:type="dxa"/>
            <w:tcBorders>
              <w:top w:val="single" w:sz="4" w:color="000000"/>
              <w:left w:val="single" w:sz="4" w:color="000000"/>
              <w:bottom w:val="single" w:sz="4" w:color="000000"/>
              <w:right w:val="single" w:sz="4" w:color="000000"/>
            </w:tcBorders>
          </w:tcPr>
          <w:p>
            <w:pPr>
              <w:spacing w:lineRule="exact" w:line="230" w:before="20" w:after="20"/>
              <w:jc w:val="left"/>
            </w:pPr>
            <w:r>
              <w:rPr>
                <w:rFonts w:ascii="Times New Roman" w:hAnsi="Times New Roman"/>
                <w:i w:val="0"/>
                <w:sz w:val="20"/>
              </w:rPr>
              <w:t>Estado de humor, de afeto ou de ânimo medido por instrumento declarado (POMS e versões, BRUMS, PANAS, Feeling Scale, subescala afetiva do SAM, dimensões isoladas do perfil de humor), e as variáveis a ele relacionadas</w:t>
            </w:r>
          </w:p>
        </w:tc>
      </w:tr>
      <w:tr>
        <w:tc>
          <w:tcPr>
            <w:tcW w:w="1814" w:type="dxa"/>
            <w:tcBorders>
              <w:top w:val="single" w:sz="4" w:color="000000"/>
              <w:left w:val="single" w:sz="4" w:color="000000"/>
              <w:bottom w:val="single" w:sz="8" w:color="000000"/>
              <w:right w:val="single" w:sz="4" w:color="000000"/>
            </w:tcBorders>
          </w:tcPr>
          <w:p>
            <w:pPr>
              <w:spacing w:lineRule="exact" w:line="230" w:before="20" w:after="20"/>
              <w:jc w:val="left"/>
            </w:pPr>
            <w:r>
              <w:rPr>
                <w:rFonts w:ascii="Times New Roman" w:hAnsi="Times New Roman"/>
                <w:i w:val="0"/>
                <w:sz w:val="20"/>
              </w:rPr>
              <w:t>C: Contexto</w:t>
            </w:r>
          </w:p>
        </w:tc>
        <w:tc>
          <w:tcPr>
            <w:tcW w:w="7257" w:type="dxa"/>
            <w:tcBorders>
              <w:top w:val="single" w:sz="4" w:color="000000"/>
              <w:left w:val="single" w:sz="4" w:color="000000"/>
              <w:bottom w:val="single" w:sz="8" w:color="000000"/>
              <w:right w:val="single" w:sz="4" w:color="000000"/>
            </w:tcBorders>
          </w:tcPr>
          <w:p>
            <w:pPr>
              <w:spacing w:lineRule="exact" w:line="230" w:before="20" w:after="20"/>
              <w:jc w:val="left"/>
            </w:pPr>
            <w:r>
              <w:rPr>
                <w:rFonts w:ascii="Times New Roman" w:hAnsi="Times New Roman"/>
                <w:i w:val="0"/>
                <w:sz w:val="20"/>
              </w:rPr>
              <w:t>Treinamento e competição, em qualquer país, período da temporada ou condição experimental</w:t>
            </w:r>
          </w:p>
        </w:tc>
      </w:tr>
    </w:tbl>
    <w:p>
      <w:pPr>
        <w:spacing w:before="40" w:after="160" w:line="240" w:lineRule="auto"/>
        <w:ind w:left="0" w:firstLine="0"/>
        <w:jc w:val="left"/>
      </w:pPr>
      <w:r>
        <w:rPr>
          <w:rFonts w:ascii="Times New Roman" w:hAnsi="Times New Roman"/>
          <w:i w:val="0"/>
          <w:sz w:val="20"/>
        </w:rPr>
        <w:t>Fonte: elaborada pelos autores (2026).</w:t>
      </w:r>
    </w:p>
    <w:p>
      <w:pPr>
        <w:keepNext/>
        <w:spacing w:before="240" w:after="120" w:line="360" w:lineRule="auto"/>
        <w:ind w:left="0" w:firstLine="0"/>
        <w:jc w:val="left"/>
      </w:pPr>
      <w:r>
        <w:rPr>
          <w:rFonts w:ascii="Times New Roman" w:hAnsi="Times New Roman"/>
          <w:b/>
          <w:sz w:val="24"/>
        </w:rPr>
        <w:t>2.2 Fontes de informação e estratégia de busca</w:t>
      </w:r>
    </w:p>
    <w:p>
      <w:pPr>
        <w:spacing w:before="0" w:after="0" w:line="360" w:lineRule="auto"/>
        <w:ind w:left="0" w:firstLine="709"/>
        <w:jc w:val="both"/>
      </w:pPr>
      <w:r>
        <w:rPr>
          <w:rFonts w:ascii="Times New Roman" w:hAnsi="Times New Roman"/>
          <w:i w:val="0"/>
          <w:sz w:val="24"/>
        </w:rPr>
        <w:t>A busca foi realizada entre maio e setembro de 2026, sem restrição de data, em oito bases: Crossref, Europe PMC, LILACS, OpenAlex, PubMed, SciELO, Scopus e Web of Science (Coleção Principal). Examinaram-se também as listas de referências dos estudos incluídos e, como fonte complementar, a revisão de mapeamento paralela. Foram construídas cinco estratégias, que geraram 45 consultas: a estratégia mestra cruza os blocos de handebol e de humor; três estratégias combinam o handebol, respectivamente, com os nomes dos instrumentos, as dimensões do perfil de humor e os termos de afeto; e a quinta busca revisões sobre o tema (Tabela 1). Após a primeira rodada, a busca foi repetida na LILACS e na SciELO em português e em espanhol, para recuperar estudos ibero-americanos. Os registros foram reunidos e deduplicados pelo DOI, pelo identificador PubMed e pelo título normalizado.</w:t>
      </w:r>
    </w:p>
    <w:p>
      <w:pPr>
        <w:spacing w:before="0" w:after="0" w:line="360" w:lineRule="auto"/>
        <w:ind w:left="0" w:firstLine="709"/>
        <w:jc w:val="both"/>
      </w:pPr>
      <w:r>
        <w:rPr>
          <w:rFonts w:ascii="Times New Roman" w:hAnsi="Times New Roman"/>
          <w:i w:val="0"/>
          <w:sz w:val="24"/>
        </w:rPr>
        <w:t>A busca foi atualizada em outubro de 2026, sem restrição de data, em duas rodadas e cinco fontes com acesso programático: PubMed (título e resumo e todos os campos), Europe PMC (resumo e texto completo) e Crossref, na primeira rodada, e Semantic Scholar (busca booleana em lote) e Dialnet, na segunda, esta voltada à produção ibero-americana. Os registros foram deduplicados pelos mesmos identificadores, e um filtro automático reteve apenas aqueles em que o termo handebol aparecia associado a termo de humor, de afeto ou psicológico. A busca de citações percorreu, no OpenCitations, as referências e as citações dos estudos incluídos. A triagem e a extração da atualização seguiram os critérios e os formulários da versão anterior. O OpenAlex recusou as consultas por limite de requisições, o DOAJ esteve fora do ar, e a LILACS e a SciELO bloquearam o acesso automatizado. A Scopus e a Web of Science não foram consultadas na atualização, por exigirem acesso institucional.</w:t>
      </w:r>
    </w:p>
    <w:p>
      <w:pPr>
        <w:keepNext/>
        <w:spacing w:before="120" w:after="60" w:line="240" w:lineRule="auto"/>
        <w:ind w:left="0" w:firstLine="0"/>
        <w:jc w:val="both"/>
      </w:pPr>
      <w:r>
        <w:rPr>
          <w:rFonts w:ascii="Times New Roman" w:hAnsi="Times New Roman"/>
          <w:b/>
          <w:sz w:val="20"/>
        </w:rPr>
        <w:t>Tabela 1</w:t>
      </w:r>
      <w:r>
        <w:rPr>
          <w:rFonts w:ascii="Times New Roman" w:hAnsi="Times New Roman"/>
          <w:i w:val="0"/>
          <w:sz w:val="20"/>
        </w:rPr>
        <w:t xml:space="preserve"> – Blocos de termos e estratégias de busca</w:t>
      </w:r>
    </w:p>
    <w:tbl>
      <w:tblPr>
        <w:jc w:val="center"/>
        <w:tblLayout w:type="fixed"/>
        <w:tblLook w:firstColumn="1" w:firstRow="1" w:lastColumn="0" w:lastRow="0" w:noHBand="0" w:noVBand="1" w:val="04A0"/>
        <w:tblW w:w="9072" w:type="dxa"/>
        <w:tblLayout w:type="fixed"/>
      </w:tblPr>
      <w:tblGrid>
        <w:gridCol w:w="2041"/>
        <w:gridCol w:w="7030"/>
      </w:tblGrid>
      <w:tr>
        <w:trPr>
          <w:tblHeader w:val="true"/>
        </w:trPr>
        <w:tc>
          <w:tcPr>
            <w:tcW w:w="2041" w:type="dxa"/>
            <w:tcBorders>
              <w:top w:val="single" w:sz="8" w:color="000000"/>
              <w:left w:val="nil"/>
              <w:bottom w:val="single" w:sz="6" w:color="000000"/>
              <w:right w:val="nil"/>
            </w:tcBorders>
          </w:tcPr>
          <w:p>
            <w:pPr>
              <w:spacing w:lineRule="exact" w:line="230"/>
              <w:jc w:val="center"/>
            </w:pPr>
            <w:r>
              <w:rPr>
                <w:rFonts w:ascii="Times New Roman" w:hAnsi="Times New Roman"/>
                <w:b/>
                <w:sz w:val="20"/>
              </w:rPr>
              <w:t>Bloco ou estratégia</w:t>
            </w:r>
          </w:p>
        </w:tc>
        <w:tc>
          <w:tcPr>
            <w:tcW w:w="7030" w:type="dxa"/>
            <w:tcBorders>
              <w:top w:val="single" w:sz="8" w:color="000000"/>
              <w:left w:val="nil"/>
              <w:bottom w:val="single" w:sz="6" w:color="000000"/>
              <w:right w:val="nil"/>
            </w:tcBorders>
          </w:tcPr>
          <w:p>
            <w:pPr>
              <w:spacing w:lineRule="exact" w:line="230"/>
              <w:jc w:val="center"/>
            </w:pPr>
            <w:r>
              <w:rPr>
                <w:rFonts w:ascii="Times New Roman" w:hAnsi="Times New Roman"/>
                <w:b/>
                <w:sz w:val="20"/>
              </w:rPr>
              <w:t>Termos</w:t>
            </w:r>
          </w:p>
        </w:tc>
      </w:tr>
      <w:tr>
        <w:tc>
          <w:tcPr>
            <w:tcW w:w="2041" w:type="dxa"/>
            <w:tcBorders>
              <w:top w:val="nil"/>
              <w:left w:val="nil"/>
              <w:bottom w:val="nil"/>
              <w:right w:val="nil"/>
            </w:tcBorders>
          </w:tcPr>
          <w:p>
            <w:pPr>
              <w:spacing w:lineRule="exact" w:line="230" w:before="20" w:after="20"/>
              <w:jc w:val="left"/>
            </w:pPr>
            <w:r>
              <w:rPr>
                <w:rFonts w:ascii="Times New Roman" w:hAnsi="Times New Roman"/>
                <w:i w:val="0"/>
                <w:sz w:val="20"/>
              </w:rPr>
              <w:t>B1 Handebol</w:t>
            </w:r>
          </w:p>
        </w:tc>
        <w:tc>
          <w:tcPr>
            <w:tcW w:w="7030" w:type="dxa"/>
            <w:tcBorders>
              <w:top w:val="nil"/>
              <w:left w:val="nil"/>
              <w:bottom w:val="nil"/>
              <w:right w:val="nil"/>
            </w:tcBorders>
          </w:tcPr>
          <w:p>
            <w:pPr>
              <w:spacing w:lineRule="exact" w:line="230" w:before="20" w:after="20"/>
              <w:jc w:val="left"/>
            </w:pPr>
            <w:r>
              <w:rPr>
                <w:rFonts w:ascii="Times New Roman" w:hAnsi="Times New Roman"/>
                <w:i w:val="0"/>
                <w:sz w:val="20"/>
              </w:rPr>
              <w:t>“handball” OR “team handball” OR “beach handball” OR “wheelchair handball” OR “handebol” OR “balonmano”</w:t>
            </w:r>
          </w:p>
        </w:tc>
      </w:tr>
      <w:tr>
        <w:tc>
          <w:tcPr>
            <w:tcW w:w="2041"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B2 Humor e afeto</w:t>
            </w:r>
          </w:p>
        </w:tc>
        <w:tc>
          <w:tcPr>
            <w:tcW w:w="7030"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“mood” OR “mood state</w:t>
            </w:r>
            <w:r>
              <w:rPr>
                <w:rFonts w:ascii="Times New Roman" w:hAnsi="Times New Roman"/>
                <w:i/>
                <w:sz w:val="20"/>
              </w:rPr>
              <w:t>” OR “affect</w:t>
            </w:r>
            <w:r>
              <w:rPr>
                <w:rFonts w:ascii="Times New Roman" w:hAnsi="Times New Roman"/>
                <w:i w:val="0"/>
                <w:sz w:val="20"/>
              </w:rPr>
              <w:t>” OR “positive affect” OR “negative affect” OR “feeling” OR “humor” OR “estado de ánimo” OR “estados de humor”</w:t>
            </w:r>
          </w:p>
        </w:tc>
      </w:tr>
      <w:tr>
        <w:tc>
          <w:tcPr>
            <w:tcW w:w="2041"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B3 Instrumentos</w:t>
            </w:r>
          </w:p>
        </w:tc>
        <w:tc>
          <w:tcPr>
            <w:tcW w:w="7030"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“Profile of Mood States” OR “POMS” OR “Brunel Mood Scale” OR “BRUMS” OR “PANAS” OR “Feeling Scale” OR “Self-Assessment Manikin”</w:t>
            </w:r>
          </w:p>
        </w:tc>
      </w:tr>
      <w:tr>
        <w:tc>
          <w:tcPr>
            <w:tcW w:w="2041"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B4 Dimensões</w:t>
            </w:r>
          </w:p>
        </w:tc>
        <w:tc>
          <w:tcPr>
            <w:tcW w:w="7030"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“vigor” OR “tension” OR “anger” OR “depression” OR “confusion” OR “fatigue” OR “total mood disturbance”</w:t>
            </w:r>
          </w:p>
        </w:tc>
      </w:tr>
      <w:tr>
        <w:tc>
          <w:tcPr>
            <w:tcW w:w="2041" w:type="dxa"/>
            <w:tcBorders>
              <w:top w:val="single" w:sz="4" w:color="000000"/>
              <w:left w:val="nil"/>
              <w:bottom w:val="single" w:sz="8" w:color="000000"/>
              <w:right w:val="nil"/>
            </w:tcBorders>
          </w:tcPr>
          <w:p>
            <w:pPr>
              <w:spacing w:lineRule="exact" w:line="230" w:before="20" w:after="20"/>
              <w:jc w:val="left"/>
            </w:pPr>
            <w:r>
              <w:rPr>
                <w:rFonts w:ascii="Times New Roman" w:hAnsi="Times New Roman"/>
                <w:i w:val="0"/>
                <w:sz w:val="20"/>
              </w:rPr>
              <w:t>Estratégias</w:t>
            </w:r>
          </w:p>
        </w:tc>
        <w:tc>
          <w:tcPr>
            <w:tcW w:w="7030" w:type="dxa"/>
            <w:tcBorders>
              <w:top w:val="single" w:sz="4" w:color="000000"/>
              <w:left w:val="nil"/>
              <w:bottom w:val="single" w:sz="8" w:color="000000"/>
              <w:right w:val="nil"/>
            </w:tcBorders>
          </w:tcPr>
          <w:p>
            <w:pPr>
              <w:spacing w:lineRule="exact" w:line="230" w:before="20" w:after="20"/>
              <w:jc w:val="left"/>
            </w:pPr>
            <w:r>
              <w:rPr>
                <w:rFonts w:ascii="Times New Roman" w:hAnsi="Times New Roman"/>
                <w:i w:val="0"/>
                <w:sz w:val="20"/>
              </w:rPr>
              <w:t>E1: B1 AND B2; E2: B1 AND B3; E3: B1 AND B4; E4: B1 AND “affective response*”; E5: B1 AND B2 AND “review”</w:t>
            </w:r>
          </w:p>
        </w:tc>
      </w:tr>
    </w:tbl>
    <w:p>
      <w:pPr>
        <w:spacing w:before="40" w:after="0" w:line="240" w:lineRule="auto"/>
        <w:ind w:left="0" w:firstLine="0"/>
        <w:jc w:val="both"/>
      </w:pPr>
      <w:r>
        <w:rPr>
          <w:rFonts w:ascii="Times New Roman" w:hAnsi="Times New Roman"/>
          <w:i w:val="0"/>
          <w:sz w:val="20"/>
        </w:rPr>
        <w:t>Nota: as strings completas, base a base, constam do material suplementar.</w:t>
      </w:r>
    </w:p>
    <w:p>
      <w:pPr>
        <w:spacing w:before="0" w:after="160" w:line="240" w:lineRule="auto"/>
        <w:ind w:left="0" w:firstLine="0"/>
        <w:jc w:val="left"/>
      </w:pPr>
      <w:r>
        <w:rPr>
          <w:rFonts w:ascii="Times New Roman" w:hAnsi="Times New Roman"/>
          <w:i w:val="0"/>
          <w:sz w:val="20"/>
        </w:rPr>
        <w:t>Fonte: elaborada pelos autores (2026).</w:t>
      </w:r>
    </w:p>
    <w:p>
      <w:pPr>
        <w:keepNext/>
        <w:spacing w:before="240" w:after="120" w:line="360" w:lineRule="auto"/>
        <w:ind w:left="0" w:firstLine="0"/>
        <w:jc w:val="left"/>
      </w:pPr>
      <w:r>
        <w:rPr>
          <w:rFonts w:ascii="Times New Roman" w:hAnsi="Times New Roman"/>
          <w:b/>
          <w:sz w:val="24"/>
        </w:rPr>
        <w:t>2.3 Critérios de elegibilidade</w:t>
      </w:r>
    </w:p>
    <w:p>
      <w:pPr>
        <w:spacing w:before="0" w:after="0" w:line="360" w:lineRule="auto"/>
        <w:ind w:left="0" w:firstLine="709"/>
        <w:jc w:val="both"/>
      </w:pPr>
      <w:r>
        <w:rPr>
          <w:rFonts w:ascii="Times New Roman" w:hAnsi="Times New Roman"/>
          <w:i w:val="0"/>
          <w:sz w:val="24"/>
        </w:rPr>
        <w:t>Os critérios foram fixados no protocolo antes da busca (Tabela 2). A decisão de maior consequência foi a definição explícita do que conta como medida de humor: a fronteira entre humor e carga é tênue na literatura esportiva, e deixá-la implícita resultaria em um conjunto impossível de delimitar posteriormente (KELLMANN et al., 2018; SAW; MAIN; GASTIN, 2016). Cada exclusão registrou um único motivo, em vocabulário fechado.</w:t>
      </w:r>
    </w:p>
    <w:p>
      <w:pPr>
        <w:keepNext/>
        <w:spacing w:before="120" w:after="60" w:line="240" w:lineRule="auto"/>
        <w:ind w:left="0" w:firstLine="0"/>
        <w:jc w:val="both"/>
      </w:pPr>
      <w:r>
        <w:rPr>
          <w:rFonts w:ascii="Times New Roman" w:hAnsi="Times New Roman"/>
          <w:b/>
          <w:sz w:val="20"/>
        </w:rPr>
        <w:t>Tabela 2</w:t>
      </w:r>
      <w:r>
        <w:rPr>
          <w:rFonts w:ascii="Times New Roman" w:hAnsi="Times New Roman"/>
          <w:i w:val="0"/>
          <w:sz w:val="20"/>
        </w:rPr>
        <w:t xml:space="preserve"> – Critérios de inclusão e de exclusão</w:t>
      </w:r>
    </w:p>
    <w:tbl>
      <w:tblPr>
        <w:jc w:val="center"/>
        <w:tblLayout w:type="fixed"/>
        <w:tblLook w:firstColumn="1" w:firstRow="1" w:lastColumn="0" w:lastRow="0" w:noHBand="0" w:noVBand="1" w:val="04A0"/>
        <w:tblW w:w="9072" w:type="dxa"/>
        <w:tblLayout w:type="fixed"/>
      </w:tblPr>
      <w:tblGrid>
        <w:gridCol w:w="1474"/>
        <w:gridCol w:w="3515"/>
        <w:gridCol w:w="4082"/>
      </w:tblGrid>
      <w:tr>
        <w:trPr>
          <w:tblHeader w:val="true"/>
        </w:trPr>
        <w:tc>
          <w:tcPr>
            <w:tcW w:w="1474" w:type="dxa"/>
            <w:tcBorders>
              <w:top w:val="single" w:sz="8" w:color="000000"/>
              <w:left w:val="nil"/>
              <w:bottom w:val="single" w:sz="6" w:color="000000"/>
              <w:right w:val="nil"/>
            </w:tcBorders>
          </w:tcPr>
          <w:p>
            <w:pPr>
              <w:spacing w:lineRule="exact" w:line="230"/>
              <w:jc w:val="center"/>
            </w:pPr>
            <w:r>
              <w:rPr>
                <w:rFonts w:ascii="Times New Roman" w:hAnsi="Times New Roman"/>
                <w:b/>
                <w:sz w:val="20"/>
              </w:rPr>
              <w:t>Elemento</w:t>
            </w:r>
          </w:p>
        </w:tc>
        <w:tc>
          <w:tcPr>
            <w:tcW w:w="3515" w:type="dxa"/>
            <w:tcBorders>
              <w:top w:val="single" w:sz="8" w:color="000000"/>
              <w:left w:val="nil"/>
              <w:bottom w:val="single" w:sz="6" w:color="000000"/>
              <w:right w:val="nil"/>
            </w:tcBorders>
          </w:tcPr>
          <w:p>
            <w:pPr>
              <w:spacing w:lineRule="exact" w:line="230"/>
              <w:jc w:val="center"/>
            </w:pPr>
            <w:r>
              <w:rPr>
                <w:rFonts w:ascii="Times New Roman" w:hAnsi="Times New Roman"/>
                <w:b/>
                <w:sz w:val="20"/>
              </w:rPr>
              <w:t>Critérios de inclusão</w:t>
            </w:r>
          </w:p>
        </w:tc>
        <w:tc>
          <w:tcPr>
            <w:tcW w:w="4082" w:type="dxa"/>
            <w:tcBorders>
              <w:top w:val="single" w:sz="8" w:color="000000"/>
              <w:left w:val="nil"/>
              <w:bottom w:val="single" w:sz="6" w:color="000000"/>
              <w:right w:val="nil"/>
            </w:tcBorders>
          </w:tcPr>
          <w:p>
            <w:pPr>
              <w:spacing w:lineRule="exact" w:line="230"/>
              <w:jc w:val="center"/>
            </w:pPr>
            <w:r>
              <w:rPr>
                <w:rFonts w:ascii="Times New Roman" w:hAnsi="Times New Roman"/>
                <w:b/>
                <w:sz w:val="20"/>
              </w:rPr>
              <w:t>Critérios de exclusão</w:t>
            </w:r>
          </w:p>
        </w:tc>
      </w:tr>
      <w:tr>
        <w:tc>
          <w:tcPr>
            <w:tcW w:w="1474" w:type="dxa"/>
            <w:tcBorders>
              <w:top w:val="nil"/>
              <w:left w:val="nil"/>
              <w:bottom w:val="nil"/>
              <w:right w:val="nil"/>
            </w:tcBorders>
          </w:tcPr>
          <w:p>
            <w:pPr>
              <w:spacing w:lineRule="exact" w:line="230" w:before="20" w:after="20"/>
              <w:jc w:val="left"/>
            </w:pPr>
            <w:r>
              <w:rPr>
                <w:rFonts w:ascii="Times New Roman" w:hAnsi="Times New Roman"/>
                <w:i w:val="0"/>
                <w:sz w:val="20"/>
              </w:rPr>
              <w:t>População</w:t>
            </w:r>
          </w:p>
        </w:tc>
        <w:tc>
          <w:tcPr>
            <w:tcW w:w="3515" w:type="dxa"/>
            <w:tcBorders>
              <w:top w:val="nil"/>
              <w:left w:val="nil"/>
              <w:bottom w:val="nil"/>
              <w:right w:val="nil"/>
            </w:tcBorders>
          </w:tcPr>
          <w:p>
            <w:pPr>
              <w:spacing w:lineRule="exact" w:line="230" w:before="20" w:after="20"/>
              <w:jc w:val="left"/>
            </w:pPr>
            <w:r>
              <w:rPr>
                <w:rFonts w:ascii="Times New Roman" w:hAnsi="Times New Roman"/>
                <w:i w:val="0"/>
                <w:sz w:val="20"/>
              </w:rPr>
              <w:t>Atletas ou praticantes de handebol, de qualquer sexo, idade e nível</w:t>
            </w:r>
          </w:p>
        </w:tc>
        <w:tc>
          <w:tcPr>
            <w:tcW w:w="4082" w:type="dxa"/>
            <w:tcBorders>
              <w:top w:val="nil"/>
              <w:left w:val="nil"/>
              <w:bottom w:val="nil"/>
              <w:right w:val="nil"/>
            </w:tcBorders>
          </w:tcPr>
          <w:p>
            <w:pPr>
              <w:spacing w:lineRule="exact" w:line="230" w:before="20" w:after="20"/>
              <w:jc w:val="left"/>
            </w:pPr>
            <w:r>
              <w:rPr>
                <w:rFonts w:ascii="Times New Roman" w:hAnsi="Times New Roman"/>
                <w:i w:val="0"/>
                <w:sz w:val="20"/>
              </w:rPr>
              <w:t>Amostras sem handebol ou multiesporte sem separação; árbitros, treinadores ou torcedores</w:t>
            </w:r>
          </w:p>
        </w:tc>
      </w:tr>
      <w:tr>
        <w:tc>
          <w:tcPr>
            <w:tcW w:w="1474"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Conceito</w:t>
            </w:r>
          </w:p>
        </w:tc>
        <w:tc>
          <w:tcPr>
            <w:tcW w:w="3515"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Humor, afeto ou ânimo medido por instrumento declarado</w:t>
            </w:r>
          </w:p>
        </w:tc>
        <w:tc>
          <w:tcPr>
            <w:tcW w:w="4082"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Índice de Hooper ou escalas de bem-estar sem dimensão afetiva; esforço percebido; fadiga mental por tarefa; ansiedade ou depressão clínica medidas isoladamente</w:t>
            </w:r>
          </w:p>
        </w:tc>
      </w:tr>
      <w:tr>
        <w:tc>
          <w:tcPr>
            <w:tcW w:w="1474"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Contexto</w:t>
            </w:r>
          </w:p>
        </w:tc>
        <w:tc>
          <w:tcPr>
            <w:tcW w:w="3515"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Treinamento, competição ou condição experimental</w:t>
            </w:r>
          </w:p>
        </w:tc>
        <w:tc>
          <w:tcPr>
            <w:tcW w:w="4082"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Contexto exclusivamente clínico ou de reabilitação</w:t>
            </w:r>
          </w:p>
        </w:tc>
      </w:tr>
      <w:tr>
        <w:tc>
          <w:tcPr>
            <w:tcW w:w="1474"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Tipo de estudo</w:t>
            </w:r>
          </w:p>
        </w:tc>
        <w:tc>
          <w:tcPr>
            <w:tcW w:w="3515"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Estudos originais com dados primários, de qualquer delineamento</w:t>
            </w:r>
          </w:p>
        </w:tc>
        <w:tc>
          <w:tcPr>
            <w:tcW w:w="4082"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Anais sem dados, editoriais, protocolos, resenhas e revisões</w:t>
            </w:r>
          </w:p>
        </w:tc>
      </w:tr>
      <w:tr>
        <w:tc>
          <w:tcPr>
            <w:tcW w:w="1474" w:type="dxa"/>
            <w:tcBorders>
              <w:top w:val="single" w:sz="4" w:color="000000"/>
              <w:left w:val="nil"/>
              <w:bottom w:val="single" w:sz="8" w:color="000000"/>
              <w:right w:val="nil"/>
            </w:tcBorders>
          </w:tcPr>
          <w:p>
            <w:pPr>
              <w:spacing w:lineRule="exact" w:line="230" w:before="20" w:after="20"/>
              <w:jc w:val="left"/>
            </w:pPr>
            <w:r>
              <w:rPr>
                <w:rFonts w:ascii="Times New Roman" w:hAnsi="Times New Roman"/>
                <w:i w:val="0"/>
                <w:sz w:val="20"/>
              </w:rPr>
              <w:t>Idioma</w:t>
            </w:r>
          </w:p>
        </w:tc>
        <w:tc>
          <w:tcPr>
            <w:tcW w:w="3515" w:type="dxa"/>
            <w:tcBorders>
              <w:top w:val="single" w:sz="4" w:color="000000"/>
              <w:left w:val="nil"/>
              <w:bottom w:val="single" w:sz="8" w:color="000000"/>
              <w:right w:val="nil"/>
            </w:tcBorders>
          </w:tcPr>
          <w:p>
            <w:pPr>
              <w:spacing w:lineRule="exact" w:line="230" w:before="20" w:after="20"/>
              <w:jc w:val="left"/>
            </w:pPr>
            <w:r>
              <w:rPr>
                <w:rFonts w:ascii="Times New Roman" w:hAnsi="Times New Roman"/>
                <w:i w:val="0"/>
                <w:sz w:val="20"/>
              </w:rPr>
              <w:t>Inglês, português e espanhol</w:t>
            </w:r>
          </w:p>
        </w:tc>
        <w:tc>
          <w:tcPr>
            <w:tcW w:w="4082" w:type="dxa"/>
            <w:tcBorders>
              <w:top w:val="single" w:sz="4" w:color="000000"/>
              <w:left w:val="nil"/>
              <w:bottom w:val="single" w:sz="8" w:color="000000"/>
              <w:right w:val="nil"/>
            </w:tcBorders>
          </w:tcPr>
          <w:p>
            <w:pPr>
              <w:spacing w:lineRule="exact" w:line="230" w:before="20" w:after="20"/>
              <w:jc w:val="left"/>
            </w:pPr>
            <w:r>
              <w:rPr>
                <w:rFonts w:ascii="Times New Roman" w:hAnsi="Times New Roman"/>
                <w:i w:val="0"/>
                <w:sz w:val="20"/>
              </w:rPr>
              <w:t>Outros idiomas</w:t>
            </w:r>
          </w:p>
        </w:tc>
      </w:tr>
    </w:tbl>
    <w:p>
      <w:pPr>
        <w:spacing w:before="40" w:after="160" w:line="240" w:lineRule="auto"/>
        <w:ind w:left="0" w:firstLine="0"/>
        <w:jc w:val="left"/>
      </w:pPr>
      <w:r>
        <w:rPr>
          <w:rFonts w:ascii="Times New Roman" w:hAnsi="Times New Roman"/>
          <w:i w:val="0"/>
          <w:sz w:val="20"/>
        </w:rPr>
        <w:t>Fonte: elaborada pelos autores (2026).</w:t>
      </w:r>
    </w:p>
    <w:p>
      <w:pPr>
        <w:keepNext/>
        <w:spacing w:before="240" w:after="120" w:line="360" w:lineRule="auto"/>
        <w:ind w:left="0" w:firstLine="0"/>
        <w:jc w:val="left"/>
      </w:pPr>
      <w:r>
        <w:rPr>
          <w:rFonts w:ascii="Times New Roman" w:hAnsi="Times New Roman"/>
          <w:b/>
          <w:sz w:val="24"/>
        </w:rPr>
        <w:t>2.4 Seleção dos estudos</w:t>
      </w:r>
    </w:p>
    <w:p>
      <w:pPr>
        <w:spacing w:before="0" w:after="0" w:line="360" w:lineRule="auto"/>
        <w:ind w:left="0" w:firstLine="709"/>
        <w:jc w:val="both"/>
      </w:pPr>
      <w:r>
        <w:rPr>
          <w:rFonts w:ascii="Times New Roman" w:hAnsi="Times New Roman"/>
          <w:i w:val="0"/>
          <w:sz w:val="24"/>
        </w:rPr>
        <w:t>A triagem por título e resumo foi realizada em duplicata, com as categorias incluir, excluir e dúvida. Os registros classificados como dúvida seguiram obrigatoriamente para o texto completo, e as divergências foram resolvidas por uma terceira avaliação (OUZZANI et al., 2016). As etapas foram assistidas por modelo de linguagem submetido aos critérios do protocolo, com registro da justificativa de cada decisão. A concordância foi expressa pelo kappa de Cohen (COHEN, 1960; LANDIS; KOCH, 1977), que, nessas condições, mede a consistência entre regras de decisão, e não a concordância entre avaliadores humanos independentes (MCHUGH, 2012). A conferência humana por amostragem está em andamento, e os resultados devem ser considerados provisórios até sua conclusão.</w:t>
      </w:r>
    </w:p>
    <w:p>
      <w:pPr>
        <w:keepNext/>
        <w:spacing w:before="240" w:after="120" w:line="360" w:lineRule="auto"/>
        <w:ind w:left="0" w:firstLine="0"/>
        <w:jc w:val="left"/>
      </w:pPr>
      <w:r>
        <w:rPr>
          <w:rFonts w:ascii="Times New Roman" w:hAnsi="Times New Roman"/>
          <w:b/>
          <w:sz w:val="24"/>
        </w:rPr>
        <w:t>2.5 Extração dos dados</w:t>
      </w:r>
    </w:p>
    <w:p>
      <w:pPr>
        <w:spacing w:before="0" w:after="0" w:line="360" w:lineRule="auto"/>
        <w:ind w:left="0" w:firstLine="709"/>
        <w:jc w:val="both"/>
      </w:pPr>
      <w:r>
        <w:rPr>
          <w:rFonts w:ascii="Times New Roman" w:hAnsi="Times New Roman"/>
          <w:i w:val="0"/>
          <w:sz w:val="24"/>
        </w:rPr>
        <w:t>Os textos completos foram buscados em acesso aberto. De cada estudo, extraíram-se: autoria, ano, país, tamanho, sexo, idade e nível competitivo da amostra, modalidade, delineamento, contexto e momento da medida, instrumento e dimensões do humor, variáveis relacionadas, intervenção, principais resultados sobre o humor e direção do achado (associação ou efeito relatado, ausência de associação, resultado misto, descritivo ou não determinável). Cada resultado foi vinculado a um trecho literal da fonte, e a origem da informação (texto completo ou resumo) foi registrada. A extração completa consta do Apêndice A.</w:t>
      </w:r>
    </w:p>
    <w:p>
      <w:pPr>
        <w:keepNext/>
        <w:spacing w:before="240" w:after="120" w:line="360" w:lineRule="auto"/>
        <w:ind w:left="0" w:firstLine="0"/>
        <w:jc w:val="left"/>
      </w:pPr>
      <w:r>
        <w:rPr>
          <w:rFonts w:ascii="Times New Roman" w:hAnsi="Times New Roman"/>
          <w:b/>
          <w:sz w:val="24"/>
        </w:rPr>
        <w:t>2.6 Avaliação da qualidade metodológica</w:t>
      </w:r>
    </w:p>
    <w:p>
      <w:pPr>
        <w:spacing w:before="0" w:after="0" w:line="360" w:lineRule="auto"/>
        <w:ind w:left="0" w:firstLine="709"/>
        <w:jc w:val="both"/>
      </w:pPr>
      <w:r>
        <w:rPr>
          <w:rFonts w:ascii="Times New Roman" w:hAnsi="Times New Roman"/>
          <w:i w:val="0"/>
          <w:sz w:val="24"/>
        </w:rPr>
        <w:t>A qualidade metodológica foi avaliada por seis itens adaptados de instrumentos para estudos observacionais e transversais (DOWNES et al., 2016): definição clara do objetivo e da população; descrição da amostra; uso de instrumento de humor validado e nomeado; declaração do momento da medida; presença de comparador, controle ou ajuste para confundimento; e análise estatística adequada, com medidas de variabilidade. Cada item foi classificado como sim, não ou incerto, e a pontuação correspondeu ao número de itens atendidos (0 a 6). Escores de 5 ou 6 indicaram qualidade alta, de 3 ou 4, moderada, e de 0 a 2, baixa. A pontuação descreve o relato e o delineamento e não substitui a avaliação formal do risco de viés.</w:t>
      </w:r>
    </w:p>
    <w:p>
      <w:pPr>
        <w:keepNext/>
        <w:spacing w:before="240" w:after="120" w:line="360" w:lineRule="auto"/>
        <w:ind w:left="0" w:firstLine="0"/>
        <w:jc w:val="left"/>
      </w:pPr>
      <w:r>
        <w:rPr>
          <w:rFonts w:ascii="Times New Roman" w:hAnsi="Times New Roman"/>
          <w:b/>
          <w:sz w:val="24"/>
        </w:rPr>
        <w:t>2.7 Síntese dos dados</w:t>
      </w:r>
    </w:p>
    <w:p>
      <w:pPr>
        <w:spacing w:before="0" w:after="0" w:line="360" w:lineRule="auto"/>
        <w:ind w:left="0" w:firstLine="709"/>
        <w:jc w:val="both"/>
      </w:pPr>
      <w:r>
        <w:rPr>
          <w:rFonts w:ascii="Times New Roman" w:hAnsi="Times New Roman"/>
          <w:i w:val="0"/>
          <w:sz w:val="24"/>
        </w:rPr>
        <w:t>A síntese foi narrativa e estruturada conforme a diretriz SWiM (CAMPBELL et al., 2020), com agrupamento por instrumento, variável relacionada e delineamento, e com a direção do achado como métrica padronizada. A metanálise não foi realizada, por decisão anterior à inspeção dos dados: os estudos diferem em instrumento, momento da medida, delineamento e desfecho, e a recomendação para as ciências do esporte condiciona a combinação de estimativas à existência de métrica comum e de informação suficiente sobre a incerteza (HOPKINS et al., 2009). A trajetória temporal da produção foi descrita por média móvel centrada de três anos, com intervalo de confiança exato de Poisson (GARWOOD, 1936). A suavização reduz a variação aleatória e preserva a tendência (CLEVELAND, 1979; HYNDMAN, 2011), e a derivada da série suavizada identifica o ponto de maior aceleração sem amplificar o ruído (SAVITZKY; GOLAY, 1964; TRUONG; OUDRE; VAYATIS, 2020).</w:t>
      </w:r>
    </w:p>
    <w:p>
      <w:pPr>
        <w:keepNext/>
        <w:spacing w:before="240" w:after="240" w:line="360" w:lineRule="auto"/>
        <w:ind w:left="0" w:firstLine="0"/>
        <w:jc w:val="left"/>
      </w:pPr>
      <w:r>
        <w:rPr>
          <w:rFonts w:ascii="Times New Roman" w:hAnsi="Times New Roman"/>
          <w:b/>
          <w:sz w:val="24"/>
        </w:rPr>
        <w:t>3 RESULTADOS</w:t>
      </w:r>
    </w:p>
    <w:p>
      <w:pPr>
        <w:keepNext/>
        <w:spacing w:before="240" w:after="120" w:line="360" w:lineRule="auto"/>
        <w:ind w:left="0" w:firstLine="0"/>
        <w:jc w:val="left"/>
      </w:pPr>
      <w:r>
        <w:rPr>
          <w:rFonts w:ascii="Times New Roman" w:hAnsi="Times New Roman"/>
          <w:b/>
          <w:sz w:val="24"/>
        </w:rPr>
        <w:t>3.1 Seleção dos estudos</w:t>
      </w:r>
    </w:p>
    <w:p>
      <w:pPr>
        <w:spacing w:before="0" w:after="0" w:line="360" w:lineRule="auto"/>
        <w:ind w:left="0" w:firstLine="709"/>
        <w:jc w:val="both"/>
      </w:pPr>
      <w:r>
        <w:rPr>
          <w:rFonts w:ascii="Times New Roman" w:hAnsi="Times New Roman"/>
          <w:i w:val="0"/>
          <w:sz w:val="24"/>
        </w:rPr>
        <w:t>Na versão inicial, a busca identificou 1.421 registros nas oito bases e 2 nas listas de referências. Após a remoção de 734 duplicatas, 689 registros foram triados por título e resumo, com exclusão de 576. Dos 113 relatórios procurados, 54 não foram recuperados ou localizados, e 59 foram avaliados quanto à elegibilidade, 5 deles apenas pelo resumo, por falta do texto completo. Foram excluídos 33 e incluídos 26, aos quais a revisão de mapeamento paralela acrescentou um relatório, o que totalizou 26 estudos e 27 relatórios. Na atualização, as cinco fontes retornaram 4.326 registros. Após a remoção de 894 duplicatas e de 2.708 registros pelo filtro automático, 724 foram triados e 683, excluídos. Dos 41 relatórios procurados, 14 já constavam da versão anterior, 5 não foram recuperados ou identificados e 22 foram avaliados. Destes, 12 foram excluídos e 10 incluídos, correspondentes a nove estudos novos e a um relatório adicional de estudo já incluído. A busca de citações acrescentou um estudo (MORENAS-AGUILAR et al., 2023). O conjunto final reúne 38 relatórios de 36 estudos, pois dois deles descrevem a mesma amostra (BATALLA-GAVALDA et al., 2025, 2026) e um resumo de congresso complementa o artigo completo de outro estudo (RATZ-SULYOK et al., 2026a, 2026b) (Figura 1). Na versão inicial, a concordância entre as passagens de triagem foi de 0,988, com kappa de 0,959 (IC 95%: 0,926 a 0,984). A Tabela 3 apresenta os motivos de exclusão.</w:t>
      </w:r>
    </w:p>
    <w:p>
      <w:pPr>
        <w:keepNext/>
        <w:spacing w:before="120" w:after="60" w:line="240" w:lineRule="auto"/>
        <w:ind w:left="0" w:firstLine="0"/>
        <w:jc w:val="both"/>
      </w:pPr>
      <w:r>
        <w:rPr>
          <w:rFonts w:ascii="Times New Roman" w:hAnsi="Times New Roman"/>
          <w:b/>
          <w:sz w:val="20"/>
        </w:rPr>
        <w:t>Figura 1</w:t>
      </w:r>
      <w:r>
        <w:rPr>
          <w:rFonts w:ascii="Times New Roman" w:hAnsi="Times New Roman"/>
          <w:i w:val="0"/>
          <w:sz w:val="20"/>
        </w:rPr>
        <w:t xml:space="preserve"> – Fluxograma PRISMA 2020 da seleção dos estudos</w:t>
      </w:r>
    </w:p>
    <w:p>
      <w:pPr>
        <w:keepNext/>
        <w:spacing w:before="0" w:after="0" w:line="240" w:lineRule="auto"/>
        <w:ind w:left="0" w:firstLine="0"/>
        <w:jc w:val="center"/>
      </w:pPr>
      <w:r>
        <w:drawing>
          <wp:inline xmlns:a="http://schemas.openxmlformats.org/drawingml/2006/main" xmlns:pic="http://schemas.openxmlformats.org/drawingml/2006/picture">
            <wp:extent cx="4140000" cy="4587190"/>
            <wp:docPr id="1" name="Picture 1"/>
            <wp:cNvGraphicFramePr>
              <a:graphicFrameLocks noChangeAspect="1"/>
            </wp:cNvGraphicFramePr>
            <a:graphic>
              <a:graphicData uri="http://schemas.openxmlformats.org/drawingml/2006/picture">
                <pic:pic>
                  <pic:nvPicPr>
                    <pic:cNvPr id="0" name="Figura1_PRISMA_RS.png"/>
                    <pic:cNvPicPr/>
                  </pic:nvPicPr>
                  <pic:blipFill>
                    <a:blip r:embed="rId10"/>
                    <a:stretch>
                      <a:fillRect/>
                    </a:stretch>
                  </pic:blipFill>
                  <pic:spPr>
                    <a:xfrm>
                      <a:off x="0" y="0"/>
                      <a:ext cx="4140000" cy="4587190"/>
                    </a:xfrm>
                    <a:prstGeom prst="rect"/>
                  </pic:spPr>
                </pic:pic>
              </a:graphicData>
            </a:graphic>
          </wp:inline>
        </w:drawing>
      </w:r>
    </w:p>
    <w:p>
      <w:pPr>
        <w:spacing w:before="40" w:after="0" w:line="240" w:lineRule="auto"/>
        <w:ind w:left="0" w:firstLine="0"/>
        <w:jc w:val="both"/>
      </w:pPr>
      <w:r>
        <w:rPr>
          <w:rFonts w:ascii="Times New Roman" w:hAnsi="Times New Roman"/>
          <w:i w:val="0"/>
          <w:sz w:val="20"/>
        </w:rPr>
        <w:t>Nota: busca inicial entre maio e setembro de 2026 e atualização em outubro de 2026; modelo do PRISMA 2020 para revisões atualizadas.</w:t>
      </w:r>
    </w:p>
    <w:p>
      <w:pPr>
        <w:spacing w:before="0" w:after="160" w:line="240" w:lineRule="auto"/>
        <w:ind w:left="0" w:firstLine="0"/>
        <w:jc w:val="left"/>
      </w:pPr>
      <w:r>
        <w:rPr>
          <w:rFonts w:ascii="Times New Roman" w:hAnsi="Times New Roman"/>
          <w:i w:val="0"/>
          <w:sz w:val="20"/>
        </w:rPr>
        <w:t>Fonte: elaborada pelos autores (2026).</w:t>
      </w:r>
    </w:p>
    <w:p>
      <w:pPr>
        <w:keepNext/>
        <w:spacing w:before="120" w:after="60" w:line="240" w:lineRule="auto"/>
        <w:ind w:left="0" w:firstLine="0"/>
        <w:jc w:val="both"/>
      </w:pPr>
      <w:r>
        <w:rPr>
          <w:rFonts w:ascii="Times New Roman" w:hAnsi="Times New Roman"/>
          <w:b/>
          <w:sz w:val="20"/>
        </w:rPr>
        <w:t>Tabela 3</w:t>
      </w:r>
      <w:r>
        <w:rPr>
          <w:rFonts w:ascii="Times New Roman" w:hAnsi="Times New Roman"/>
          <w:i w:val="0"/>
          <w:sz w:val="20"/>
        </w:rPr>
        <w:t xml:space="preserve"> – Motivos de exclusão, por etapa da seleção</w:t>
      </w:r>
    </w:p>
    <w:tbl>
      <w:tblPr>
        <w:jc w:val="center"/>
        <w:tblLayout w:type="fixed"/>
        <w:tblLook w:firstColumn="1" w:firstRow="1" w:lastColumn="0" w:lastRow="0" w:noHBand="0" w:noVBand="1" w:val="04A0"/>
        <w:tblW w:w="8845" w:type="dxa"/>
        <w:tblLayout w:type="fixed"/>
      </w:tblPr>
      <w:tblGrid>
        <w:gridCol w:w="2778"/>
        <w:gridCol w:w="1190"/>
        <w:gridCol w:w="1247"/>
        <w:gridCol w:w="1360"/>
        <w:gridCol w:w="1360"/>
        <w:gridCol w:w="907"/>
      </w:tblGrid>
      <w:tr>
        <w:trPr>
          <w:tblHeader w:val="true"/>
        </w:trPr>
        <w:tc>
          <w:tcPr>
            <w:tcW w:w="2778" w:type="dxa"/>
            <w:tcBorders>
              <w:top w:val="single" w:sz="8" w:color="000000"/>
              <w:left w:val="nil"/>
              <w:bottom w:val="single" w:sz="6" w:color="000000"/>
              <w:right w:val="nil"/>
            </w:tcBorders>
          </w:tcPr>
          <w:p>
            <w:pPr>
              <w:spacing w:lineRule="exact" w:line="220"/>
              <w:jc w:val="center"/>
            </w:pPr>
            <w:r>
              <w:rPr>
                <w:rFonts w:ascii="Times New Roman" w:hAnsi="Times New Roman"/>
                <w:b/>
                <w:sz w:val="19"/>
              </w:rPr>
              <w:t>Motivo da exclusão</w:t>
            </w:r>
          </w:p>
        </w:tc>
        <w:tc>
          <w:tcPr>
            <w:tcW w:w="1190" w:type="dxa"/>
            <w:tcBorders>
              <w:top w:val="single" w:sz="8" w:color="000000"/>
              <w:left w:val="nil"/>
              <w:bottom w:val="single" w:sz="6" w:color="000000"/>
              <w:right w:val="nil"/>
            </w:tcBorders>
          </w:tcPr>
          <w:p>
            <w:pPr>
              <w:spacing w:lineRule="exact" w:line="220"/>
              <w:jc w:val="center"/>
            </w:pPr>
            <w:r>
              <w:rPr>
                <w:rFonts w:ascii="Times New Roman" w:hAnsi="Times New Roman"/>
                <w:b/>
                <w:sz w:val="19"/>
              </w:rPr>
              <w:t>Triagem</w:t>
              <w:br/>
              <w:t>inicial</w:t>
            </w:r>
          </w:p>
        </w:tc>
        <w:tc>
          <w:tcPr>
            <w:tcW w:w="1247" w:type="dxa"/>
            <w:tcBorders>
              <w:top w:val="single" w:sz="8" w:color="000000"/>
              <w:left w:val="nil"/>
              <w:bottom w:val="single" w:sz="6" w:color="000000"/>
              <w:right w:val="nil"/>
            </w:tcBorders>
          </w:tcPr>
          <w:p>
            <w:pPr>
              <w:spacing w:lineRule="exact" w:line="220"/>
              <w:jc w:val="center"/>
            </w:pPr>
            <w:r>
              <w:rPr>
                <w:rFonts w:ascii="Times New Roman" w:hAnsi="Times New Roman"/>
                <w:b/>
                <w:sz w:val="19"/>
              </w:rPr>
              <w:t>Texto</w:t>
              <w:br/>
              <w:t>completo</w:t>
              <w:br/>
              <w:t>inicial</w:t>
            </w:r>
          </w:p>
        </w:tc>
        <w:tc>
          <w:tcPr>
            <w:tcW w:w="1360" w:type="dxa"/>
            <w:tcBorders>
              <w:top w:val="single" w:sz="8" w:color="000000"/>
              <w:left w:val="nil"/>
              <w:bottom w:val="single" w:sz="6" w:color="000000"/>
              <w:right w:val="nil"/>
            </w:tcBorders>
          </w:tcPr>
          <w:p>
            <w:pPr>
              <w:spacing w:lineRule="exact" w:line="220"/>
              <w:jc w:val="center"/>
            </w:pPr>
            <w:r>
              <w:rPr>
                <w:rFonts w:ascii="Times New Roman" w:hAnsi="Times New Roman"/>
                <w:b/>
                <w:sz w:val="19"/>
              </w:rPr>
              <w:t>Triagem</w:t>
              <w:br/>
              <w:t>atualização</w:t>
            </w:r>
          </w:p>
        </w:tc>
        <w:tc>
          <w:tcPr>
            <w:tcW w:w="1360" w:type="dxa"/>
            <w:tcBorders>
              <w:top w:val="single" w:sz="8" w:color="000000"/>
              <w:left w:val="nil"/>
              <w:bottom w:val="single" w:sz="6" w:color="000000"/>
              <w:right w:val="nil"/>
            </w:tcBorders>
          </w:tcPr>
          <w:p>
            <w:pPr>
              <w:spacing w:lineRule="exact" w:line="220"/>
              <w:jc w:val="center"/>
            </w:pPr>
            <w:r>
              <w:rPr>
                <w:rFonts w:ascii="Times New Roman" w:hAnsi="Times New Roman"/>
                <w:b/>
                <w:sz w:val="19"/>
              </w:rPr>
              <w:t>Texto</w:t>
              <w:br/>
              <w:t>completo</w:t>
              <w:br/>
              <w:t>atualização</w:t>
            </w:r>
          </w:p>
        </w:tc>
        <w:tc>
          <w:tcPr>
            <w:tcW w:w="907" w:type="dxa"/>
            <w:tcBorders>
              <w:top w:val="single" w:sz="8" w:color="000000"/>
              <w:left w:val="nil"/>
              <w:bottom w:val="single" w:sz="6" w:color="000000"/>
              <w:right w:val="nil"/>
            </w:tcBorders>
          </w:tcPr>
          <w:p>
            <w:pPr>
              <w:spacing w:lineRule="exact" w:line="220"/>
              <w:jc w:val="center"/>
            </w:pPr>
            <w:r>
              <w:rPr>
                <w:rFonts w:ascii="Times New Roman" w:hAnsi="Times New Roman"/>
                <w:b/>
                <w:sz w:val="19"/>
              </w:rPr>
              <w:t>Total</w:t>
            </w:r>
          </w:p>
        </w:tc>
      </w:tr>
      <w:tr>
        <w:tc>
          <w:tcPr>
            <w:tcW w:w="2778" w:type="dxa"/>
            <w:tcBorders>
              <w:top w:val="nil"/>
              <w:left w:val="nil"/>
              <w:bottom w:val="nil"/>
              <w:right w:val="nil"/>
            </w:tcBorders>
          </w:tcPr>
          <w:p>
            <w:pPr>
              <w:spacing w:lineRule="exact" w:line="220" w:before="20" w:after="20"/>
              <w:jc w:val="left"/>
            </w:pPr>
            <w:r>
              <w:rPr>
                <w:rFonts w:ascii="Times New Roman" w:hAnsi="Times New Roman"/>
                <w:i w:val="0"/>
                <w:sz w:val="19"/>
              </w:rPr>
              <w:t>Não mede humor por instrumento declarado</w:t>
            </w:r>
          </w:p>
        </w:tc>
        <w:tc>
          <w:tcPr>
            <w:tcW w:w="1190" w:type="dxa"/>
            <w:tcBorders>
              <w:top w:val="nil"/>
              <w:left w:val="nil"/>
              <w:bottom w:val="nil"/>
              <w:right w:val="nil"/>
            </w:tcBorders>
          </w:tcPr>
          <w:p>
            <w:pPr>
              <w:spacing w:lineRule="exact" w:line="220" w:before="20" w:after="20"/>
              <w:jc w:val="center"/>
            </w:pPr>
            <w:r>
              <w:rPr>
                <w:rFonts w:ascii="Times New Roman" w:hAnsi="Times New Roman"/>
                <w:i w:val="0"/>
                <w:sz w:val="19"/>
              </w:rPr>
              <w:t>395</w:t>
            </w:r>
          </w:p>
        </w:tc>
        <w:tc>
          <w:tcPr>
            <w:tcW w:w="1247" w:type="dxa"/>
            <w:tcBorders>
              <w:top w:val="nil"/>
              <w:left w:val="nil"/>
              <w:bottom w:val="nil"/>
              <w:right w:val="nil"/>
            </w:tcBorders>
          </w:tcPr>
          <w:p>
            <w:pPr>
              <w:spacing w:lineRule="exact" w:line="220" w:before="20" w:after="20"/>
              <w:jc w:val="center"/>
            </w:pPr>
            <w:r>
              <w:rPr>
                <w:rFonts w:ascii="Times New Roman" w:hAnsi="Times New Roman"/>
                <w:i w:val="0"/>
                <w:sz w:val="19"/>
              </w:rPr>
              <w:t>31</w:t>
            </w:r>
          </w:p>
        </w:tc>
        <w:tc>
          <w:tcPr>
            <w:tcW w:w="1360" w:type="dxa"/>
            <w:tcBorders>
              <w:top w:val="nil"/>
              <w:left w:val="nil"/>
              <w:bottom w:val="nil"/>
              <w:right w:val="nil"/>
            </w:tcBorders>
          </w:tcPr>
          <w:p>
            <w:pPr>
              <w:spacing w:lineRule="exact" w:line="220" w:before="20" w:after="20"/>
              <w:jc w:val="center"/>
            </w:pPr>
            <w:r>
              <w:rPr>
                <w:rFonts w:ascii="Times New Roman" w:hAnsi="Times New Roman"/>
                <w:i w:val="0"/>
                <w:sz w:val="19"/>
              </w:rPr>
              <w:t>432</w:t>
            </w:r>
          </w:p>
        </w:tc>
        <w:tc>
          <w:tcPr>
            <w:tcW w:w="1360" w:type="dxa"/>
            <w:tcBorders>
              <w:top w:val="nil"/>
              <w:left w:val="nil"/>
              <w:bottom w:val="nil"/>
              <w:right w:val="nil"/>
            </w:tcBorders>
          </w:tcPr>
          <w:p>
            <w:pPr>
              <w:spacing w:lineRule="exact" w:line="220" w:before="20" w:after="20"/>
              <w:jc w:val="center"/>
            </w:pPr>
            <w:r>
              <w:rPr>
                <w:rFonts w:ascii="Times New Roman" w:hAnsi="Times New Roman"/>
                <w:i w:val="0"/>
                <w:sz w:val="19"/>
              </w:rPr>
              <w:t>8</w:t>
            </w:r>
          </w:p>
        </w:tc>
        <w:tc>
          <w:tcPr>
            <w:tcW w:w="907" w:type="dxa"/>
            <w:tcBorders>
              <w:top w:val="nil"/>
              <w:left w:val="nil"/>
              <w:bottom w:val="nil"/>
              <w:right w:val="nil"/>
            </w:tcBorders>
          </w:tcPr>
          <w:p>
            <w:pPr>
              <w:spacing w:lineRule="exact" w:line="220" w:before="20" w:after="20"/>
              <w:jc w:val="center"/>
            </w:pPr>
            <w:r>
              <w:rPr>
                <w:rFonts w:ascii="Times New Roman" w:hAnsi="Times New Roman"/>
                <w:i w:val="0"/>
                <w:sz w:val="19"/>
              </w:rPr>
              <w:t>866</w:t>
            </w:r>
          </w:p>
        </w:tc>
      </w:tr>
      <w:tr>
        <w:tc>
          <w:tcPr>
            <w:tcW w:w="2778"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Sem handebol ou amostra multiesporte sem separação</w:t>
            </w:r>
          </w:p>
        </w:tc>
        <w:tc>
          <w:tcPr>
            <w:tcW w:w="119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141</w:t>
            </w:r>
          </w:p>
        </w:tc>
        <w:tc>
          <w:tcPr>
            <w:tcW w:w="1247"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1</w:t>
            </w:r>
          </w:p>
        </w:tc>
        <w:tc>
          <w:tcPr>
            <w:tcW w:w="136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97</w:t>
            </w:r>
          </w:p>
        </w:tc>
        <w:tc>
          <w:tcPr>
            <w:tcW w:w="136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3</w:t>
            </w:r>
          </w:p>
        </w:tc>
        <w:tc>
          <w:tcPr>
            <w:tcW w:w="907"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242</w:t>
            </w:r>
          </w:p>
        </w:tc>
      </w:tr>
      <w:tr>
        <w:tc>
          <w:tcPr>
            <w:tcW w:w="2778"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Mesmo estudo repetido (duplicata)</w:t>
            </w:r>
          </w:p>
        </w:tc>
        <w:tc>
          <w:tcPr>
            <w:tcW w:w="119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17</w:t>
            </w:r>
          </w:p>
        </w:tc>
        <w:tc>
          <w:tcPr>
            <w:tcW w:w="1247"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1</w:t>
            </w:r>
          </w:p>
        </w:tc>
        <w:tc>
          <w:tcPr>
            <w:tcW w:w="136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7</w:t>
            </w:r>
          </w:p>
        </w:tc>
        <w:tc>
          <w:tcPr>
            <w:tcW w:w="136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w:t>
            </w:r>
          </w:p>
        </w:tc>
        <w:tc>
          <w:tcPr>
            <w:tcW w:w="907"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25</w:t>
            </w:r>
          </w:p>
        </w:tc>
      </w:tr>
      <w:tr>
        <w:tc>
          <w:tcPr>
            <w:tcW w:w="2778"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Medida de árbitro, treinador ou torcedor</w:t>
            </w:r>
          </w:p>
        </w:tc>
        <w:tc>
          <w:tcPr>
            <w:tcW w:w="119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11</w:t>
            </w:r>
          </w:p>
        </w:tc>
        <w:tc>
          <w:tcPr>
            <w:tcW w:w="1247"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w:t>
            </w:r>
          </w:p>
        </w:tc>
        <w:tc>
          <w:tcPr>
            <w:tcW w:w="136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30</w:t>
            </w:r>
          </w:p>
        </w:tc>
        <w:tc>
          <w:tcPr>
            <w:tcW w:w="136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w:t>
            </w:r>
          </w:p>
        </w:tc>
        <w:tc>
          <w:tcPr>
            <w:tcW w:w="907"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41</w:t>
            </w:r>
          </w:p>
        </w:tc>
      </w:tr>
      <w:tr>
        <w:tc>
          <w:tcPr>
            <w:tcW w:w="2778"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Anais, editorial, protocolo ou resenha</w:t>
            </w:r>
          </w:p>
        </w:tc>
        <w:tc>
          <w:tcPr>
            <w:tcW w:w="119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7</w:t>
            </w:r>
          </w:p>
        </w:tc>
        <w:tc>
          <w:tcPr>
            <w:tcW w:w="1247"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1</w:t>
            </w:r>
          </w:p>
        </w:tc>
        <w:tc>
          <w:tcPr>
            <w:tcW w:w="136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111</w:t>
            </w:r>
          </w:p>
        </w:tc>
        <w:tc>
          <w:tcPr>
            <w:tcW w:w="136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w:t>
            </w:r>
          </w:p>
        </w:tc>
        <w:tc>
          <w:tcPr>
            <w:tcW w:w="907"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119</w:t>
            </w:r>
          </w:p>
        </w:tc>
      </w:tr>
      <w:tr>
        <w:tc>
          <w:tcPr>
            <w:tcW w:w="2778"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Idioma diferente do inglês, do português e do espanhol</w:t>
            </w:r>
          </w:p>
        </w:tc>
        <w:tc>
          <w:tcPr>
            <w:tcW w:w="119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5</w:t>
            </w:r>
          </w:p>
        </w:tc>
        <w:tc>
          <w:tcPr>
            <w:tcW w:w="1247"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w:t>
            </w:r>
          </w:p>
        </w:tc>
        <w:tc>
          <w:tcPr>
            <w:tcW w:w="136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6</w:t>
            </w:r>
          </w:p>
        </w:tc>
        <w:tc>
          <w:tcPr>
            <w:tcW w:w="1360"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1</w:t>
            </w:r>
          </w:p>
        </w:tc>
        <w:tc>
          <w:tcPr>
            <w:tcW w:w="907" w:type="dxa"/>
            <w:tcBorders>
              <w:top w:val="single" w:sz="4" w:color="000000"/>
              <w:left w:val="nil"/>
              <w:bottom w:val="nil"/>
              <w:right w:val="nil"/>
            </w:tcBorders>
          </w:tcPr>
          <w:p>
            <w:pPr>
              <w:spacing w:lineRule="exact" w:line="220" w:before="20" w:after="20"/>
              <w:jc w:val="center"/>
            </w:pPr>
            <w:r>
              <w:rPr>
                <w:rFonts w:ascii="Times New Roman" w:hAnsi="Times New Roman"/>
                <w:i w:val="0"/>
                <w:sz w:val="19"/>
              </w:rPr>
              <w:t>12</w:t>
            </w:r>
          </w:p>
        </w:tc>
      </w:tr>
      <w:tr>
        <w:tc>
          <w:tcPr>
            <w:tcW w:w="2778" w:type="dxa"/>
            <w:tcBorders>
              <w:top w:val="single" w:sz="4" w:color="000000"/>
              <w:left w:val="nil"/>
              <w:bottom w:val="single" w:sz="8" w:color="000000"/>
              <w:right w:val="nil"/>
            </w:tcBorders>
          </w:tcPr>
          <w:p>
            <w:pPr>
              <w:spacing w:lineRule="exact" w:line="220" w:before="20" w:after="20"/>
              <w:jc w:val="left"/>
            </w:pPr>
            <w:r>
              <w:rPr>
                <w:rFonts w:ascii="Times New Roman" w:hAnsi="Times New Roman"/>
                <w:b/>
                <w:sz w:val="19"/>
              </w:rPr>
              <w:t>Total</w:t>
            </w:r>
          </w:p>
        </w:tc>
        <w:tc>
          <w:tcPr>
            <w:tcW w:w="1190" w:type="dxa"/>
            <w:tcBorders>
              <w:top w:val="single" w:sz="4" w:color="000000"/>
              <w:left w:val="nil"/>
              <w:bottom w:val="single" w:sz="8" w:color="000000"/>
              <w:right w:val="nil"/>
            </w:tcBorders>
          </w:tcPr>
          <w:p>
            <w:pPr>
              <w:spacing w:lineRule="exact" w:line="220" w:before="20" w:after="20"/>
              <w:jc w:val="center"/>
            </w:pPr>
            <w:r>
              <w:rPr>
                <w:rFonts w:ascii="Times New Roman" w:hAnsi="Times New Roman"/>
                <w:b/>
                <w:sz w:val="19"/>
              </w:rPr>
              <w:t>576</w:t>
            </w:r>
          </w:p>
        </w:tc>
        <w:tc>
          <w:tcPr>
            <w:tcW w:w="1247" w:type="dxa"/>
            <w:tcBorders>
              <w:top w:val="single" w:sz="4" w:color="000000"/>
              <w:left w:val="nil"/>
              <w:bottom w:val="single" w:sz="8" w:color="000000"/>
              <w:right w:val="nil"/>
            </w:tcBorders>
          </w:tcPr>
          <w:p>
            <w:pPr>
              <w:spacing w:lineRule="exact" w:line="220" w:before="20" w:after="20"/>
              <w:jc w:val="center"/>
            </w:pPr>
            <w:r>
              <w:rPr>
                <w:rFonts w:ascii="Times New Roman" w:hAnsi="Times New Roman"/>
                <w:b/>
                <w:sz w:val="19"/>
              </w:rPr>
              <w:t>34</w:t>
            </w:r>
          </w:p>
        </w:tc>
        <w:tc>
          <w:tcPr>
            <w:tcW w:w="1360" w:type="dxa"/>
            <w:tcBorders>
              <w:top w:val="single" w:sz="4" w:color="000000"/>
              <w:left w:val="nil"/>
              <w:bottom w:val="single" w:sz="8" w:color="000000"/>
              <w:right w:val="nil"/>
            </w:tcBorders>
          </w:tcPr>
          <w:p>
            <w:pPr>
              <w:spacing w:lineRule="exact" w:line="220" w:before="20" w:after="20"/>
              <w:jc w:val="center"/>
            </w:pPr>
            <w:r>
              <w:rPr>
                <w:rFonts w:ascii="Times New Roman" w:hAnsi="Times New Roman"/>
                <w:b/>
                <w:sz w:val="19"/>
              </w:rPr>
              <w:t>683</w:t>
            </w:r>
          </w:p>
        </w:tc>
        <w:tc>
          <w:tcPr>
            <w:tcW w:w="1360" w:type="dxa"/>
            <w:tcBorders>
              <w:top w:val="single" w:sz="4" w:color="000000"/>
              <w:left w:val="nil"/>
              <w:bottom w:val="single" w:sz="8" w:color="000000"/>
              <w:right w:val="nil"/>
            </w:tcBorders>
          </w:tcPr>
          <w:p>
            <w:pPr>
              <w:spacing w:lineRule="exact" w:line="220" w:before="20" w:after="20"/>
              <w:jc w:val="center"/>
            </w:pPr>
            <w:r>
              <w:rPr>
                <w:rFonts w:ascii="Times New Roman" w:hAnsi="Times New Roman"/>
                <w:b/>
                <w:sz w:val="19"/>
              </w:rPr>
              <w:t>12</w:t>
            </w:r>
          </w:p>
        </w:tc>
        <w:tc>
          <w:tcPr>
            <w:tcW w:w="907" w:type="dxa"/>
            <w:tcBorders>
              <w:top w:val="single" w:sz="4" w:color="000000"/>
              <w:left w:val="nil"/>
              <w:bottom w:val="single" w:sz="8" w:color="000000"/>
              <w:right w:val="nil"/>
            </w:tcBorders>
          </w:tcPr>
          <w:p>
            <w:pPr>
              <w:spacing w:lineRule="exact" w:line="220" w:before="20" w:after="20"/>
              <w:jc w:val="center"/>
            </w:pPr>
            <w:r>
              <w:rPr>
                <w:rFonts w:ascii="Times New Roman" w:hAnsi="Times New Roman"/>
                <w:b/>
                <w:sz w:val="19"/>
              </w:rPr>
              <w:t>1.305</w:t>
            </w:r>
          </w:p>
        </w:tc>
      </w:tr>
    </w:tbl>
    <w:p>
      <w:pPr>
        <w:spacing w:before="40" w:after="0" w:line="240" w:lineRule="auto"/>
        <w:ind w:left="0" w:firstLine="0"/>
        <w:jc w:val="both"/>
      </w:pPr>
      <w:r>
        <w:rPr>
          <w:rFonts w:ascii="Times New Roman" w:hAnsi="Times New Roman"/>
          <w:i w:val="0"/>
          <w:sz w:val="20"/>
        </w:rPr>
        <w:t>Nota: a coluna de texto completo da versão inicial inclui o relatório excluído entre os identificados por outros métodos. Na atualização, a categoria sem handebol abrange três registros em que o termo handball tinha outro sentido, e a categoria de humor inclui instrumentos sem nome, sem validação ou sem natureza de escala de humor, como uma lista de adjetivos de afeto e um teste projetivo de cores.</w:t>
      </w:r>
    </w:p>
    <w:p>
      <w:pPr>
        <w:spacing w:before="0" w:after="160" w:line="240" w:lineRule="auto"/>
        <w:ind w:left="0" w:firstLine="0"/>
        <w:jc w:val="left"/>
      </w:pPr>
      <w:r>
        <w:rPr>
          <w:rFonts w:ascii="Times New Roman" w:hAnsi="Times New Roman"/>
          <w:i w:val="0"/>
          <w:sz w:val="20"/>
        </w:rPr>
        <w:t>Fonte: elaborada pelos autores (2026).</w:t>
      </w:r>
    </w:p>
    <w:p>
      <w:pPr>
        <w:spacing w:before="0" w:after="0" w:line="360" w:lineRule="auto"/>
        <w:ind w:left="0" w:firstLine="709"/>
        <w:jc w:val="both"/>
      </w:pPr>
      <w:r>
        <w:rPr>
          <w:rFonts w:ascii="Times New Roman" w:hAnsi="Times New Roman"/>
          <w:i w:val="0"/>
          <w:sz w:val="24"/>
        </w:rPr>
        <w:t>A releitura integral dos relatórios incluídos na versão anterior desta revisão alterou onze decisões. Em dois registros, o identificador digital correspondia a outro artigo, sem medida de humor; cinco mediam construtos fora do conceito, como a raiva isolada, o prazer esportivo ou um item único de bem-estar; um era duplicata de outro relatório; e três não foram localizados em nenhuma fonte. Essas decisões, registradas com a evidência textual correspondente, ilustram o risco de incluir estudos com base apenas em metadados. A atualização resolveu dois desses casos: localizou o estudo com o POMS em jovens jogadores, de identificador incorreto (BUCHHEIT, 2015), e recuperou o estudo sobre saúde, solidão e afeto em jogadores juniores, antes não localizado (IVANOVIĆ; IVANOVIĆ, 2023).</w:t>
      </w:r>
    </w:p>
    <w:p>
      <w:pPr>
        <w:keepNext/>
        <w:spacing w:before="240" w:after="120" w:line="360" w:lineRule="auto"/>
        <w:ind w:left="0" w:firstLine="0"/>
        <w:jc w:val="left"/>
      </w:pPr>
      <w:r>
        <w:rPr>
          <w:rFonts w:ascii="Times New Roman" w:hAnsi="Times New Roman"/>
          <w:b/>
          <w:sz w:val="24"/>
        </w:rPr>
        <w:t>3.2 Características dos estudos e das populações (QP1)</w:t>
      </w:r>
    </w:p>
    <w:p>
      <w:pPr>
        <w:spacing w:before="0" w:after="0" w:line="360" w:lineRule="auto"/>
        <w:ind w:left="0" w:firstLine="709"/>
        <w:jc w:val="both"/>
      </w:pPr>
      <w:r>
        <w:rPr>
          <w:rFonts w:ascii="Times New Roman" w:hAnsi="Times New Roman"/>
          <w:i w:val="0"/>
          <w:sz w:val="24"/>
        </w:rPr>
        <w:t>Os 36 estudos foram publicados entre 2008 e 2026, com média de quase dois estudos por ano e maior concentração a partir de 2018 (Figura 2A). A produção distribuiu-se por 17 países, com predomínio da Espanha (8 estudos), da Tunísia (5) e do Brasil (5). Dezesseis estudos (44,4%) investigaram apenas mulheres, dez (27,8%) apenas homens e seis amostras mistas, enquanto quatro não relataram o sexo. Os níveis de elite e de formação reuniram 8 estudos cada, e o nacional, 6; os demais envolveram atletas universitários, amadores e escolares. Dois estudos investigaram o handebol de praia (PADILHAS et al., 2018; REIGAL et al., 2020). O tamanho da amostra, relatado em 35 estudos, variou de 7 a 584 participantes, com mediana de 25, e vinte estudos reuniram menos de 30 atletas.</w:t>
      </w:r>
    </w:p>
    <w:p>
      <w:pPr>
        <w:spacing w:before="0" w:after="0" w:line="360" w:lineRule="auto"/>
        <w:ind w:left="0" w:firstLine="709"/>
        <w:jc w:val="both"/>
      </w:pPr>
      <w:r>
        <w:rPr>
          <w:rFonts w:ascii="Times New Roman" w:hAnsi="Times New Roman"/>
          <w:i w:val="0"/>
          <w:sz w:val="24"/>
        </w:rPr>
        <w:t>As amostras abrangeram escolares, adolescentes, juniores e adultos. A mais jovem reuniu escolares de 9,1 ± 0,54 anos (NUGRAHA; WIBOWO; FIRMANSYAH, 2020). Sete estudos avaliaram adolescentes (AYDI et al., 2025; BATALLA-GAVALDA et al., 2021; BUGTEN et al., 2026; LUJIC; PRSKALO; BRATKO, 2023; PEREIRA et al., 2014; SAHLI et al., 2022, 2024), com médias de 13,81 ± 0,73 anos (AYDI et al., 2025) a 17,4 ± 2,08 anos (SAHLI et al., 2024), e dois descreveram a amostra apenas como adolescente (BUCHHEIT, 2015; DIACHENKO; TYSHCHENKO, 2025). Entre os juniores, as médias foram de 18,6 ± 2,4 anos (ASSUNÇÃO CARVALHO et al., 2018) e de 18,8 ± 0,20 anos (ZURITA ORTEGA et al., 2014). Nos adultos, variaram de 19,8 ± 1,9 anos (MORENAS-AGUILAR et al., 2023) a 30,46 ± 8,29 anos (LAGNER et al., 2015), e o estudo húngaro abrangeu atletas de 14 a 35 anos (RATZ-SULYOK et al., 2026a, 2026b). Quatro estudos não relataram a idade (AKROUSH et al., 2025; FARZANEGI et al., [2008?]; KHAZDOZI; BAHARI; ASHAYERI, 2017; ROCHA; LOPES; MORAES, 2010). Os dois estudos de handebol de praia avaliaram 17 jogadoras da seleção brasileira, com 27,1 ± 3,8 anos (PADILHAS et al., 2018), e 181 atletas de ambos os sexos, com 25,68 ± 5,95 anos, de equipes classificadas para a Copa da Espanha de 2016 (REIGAL et al., 2020). Seleções nacionais compuseram ainda a amostra de dois estudos, com 39 jogadoras das seleções adulta, júnior e juvenil do Chile (SOTO; GARCÍA-HERRERO; CARCEDO, 2020) e 584 atletas húngaros das seleções sub-17, sub-19, sub-21 e adulta e do programa de talentos sub-15 (RATZ-SULYOK et al., 2026a, 2026b). Entre as maiores amostras estiveram também 407 adolescentes croatas, comparados a 349 inativos (LUJIC; PRSKALO; BRATKO, 2023), e 187 atletas federados, 77 deles profissionais (MON-LÓPEZ et al., 2020).</w:t>
      </w:r>
    </w:p>
    <w:p>
      <w:pPr>
        <w:spacing w:before="0" w:after="0" w:line="360" w:lineRule="auto"/>
        <w:ind w:left="0" w:firstLine="709"/>
        <w:jc w:val="both"/>
      </w:pPr>
      <w:r>
        <w:rPr>
          <w:rFonts w:ascii="Times New Roman" w:hAnsi="Times New Roman"/>
          <w:i w:val="0"/>
          <w:sz w:val="24"/>
        </w:rPr>
        <w:t>Quanto ao delineamento, onze estudos foram transversais, oito longitudinais, seis quase-experimentais, seis cruzados e cinco ensaios randomizados (Figura 2E). A medida ocorreu no treinamento em quinze estudos, em laboratório em seis, na competição oficial em seis e ao longo do período competitivo em seis. Dois estudos avaliaram atletas durante o confinamento da pandemia de COVID-19 (BATALLA-GAVALDA et al., 2021; MON-LÓPEZ et al., 2020). A extração baseou-se no texto completo em 28 relatórios e no resumo em 10. A Tabela 4 resume cada estudo, e o Apêndice A apresenta a extração completa.</w:t>
      </w:r>
    </w:p>
    <w:p>
      <w:pPr>
        <w:keepNext/>
        <w:spacing w:before="120" w:after="60" w:line="240" w:lineRule="auto"/>
        <w:ind w:left="0" w:firstLine="0"/>
        <w:jc w:val="both"/>
      </w:pPr>
      <w:r>
        <w:rPr>
          <w:rFonts w:ascii="Times New Roman" w:hAnsi="Times New Roman"/>
          <w:b/>
          <w:sz w:val="20"/>
        </w:rPr>
        <w:t>Figura 2</w:t>
      </w:r>
      <w:r>
        <w:rPr>
          <w:rFonts w:ascii="Times New Roman" w:hAnsi="Times New Roman"/>
          <w:i w:val="0"/>
          <w:sz w:val="20"/>
        </w:rPr>
        <w:t xml:space="preserve"> – Características dos estudos e das populações (QP1)</w:t>
      </w:r>
    </w:p>
    <w:p>
      <w:pPr>
        <w:keepNext/>
        <w:spacing w:before="0" w:after="0" w:line="240" w:lineRule="auto"/>
        <w:ind w:left="0" w:firstLine="0"/>
        <w:jc w:val="center"/>
      </w:pPr>
      <w:r>
        <w:drawing>
          <wp:inline xmlns:a="http://schemas.openxmlformats.org/drawingml/2006/main" xmlns:pic="http://schemas.openxmlformats.org/drawingml/2006/picture">
            <wp:extent cx="5220000" cy="6250685"/>
            <wp:docPr id="2" name="Picture 2"/>
            <wp:cNvGraphicFramePr>
              <a:graphicFrameLocks noChangeAspect="1"/>
            </wp:cNvGraphicFramePr>
            <a:graphic>
              <a:graphicData uri="http://schemas.openxmlformats.org/drawingml/2006/picture">
                <pic:pic>
                  <pic:nvPicPr>
                    <pic:cNvPr id="0" name="Figura2_Caracteristicas_RS.png"/>
                    <pic:cNvPicPr/>
                  </pic:nvPicPr>
                  <pic:blipFill>
                    <a:blip r:embed="rId11"/>
                    <a:stretch>
                      <a:fillRect/>
                    </a:stretch>
                  </pic:blipFill>
                  <pic:spPr>
                    <a:xfrm>
                      <a:off x="0" y="0"/>
                      <a:ext cx="5220000" cy="6250685"/>
                    </a:xfrm>
                    <a:prstGeom prst="rect"/>
                  </pic:spPr>
                </pic:pic>
              </a:graphicData>
            </a:graphic>
          </wp:inline>
        </w:drawing>
      </w:r>
    </w:p>
    <w:p>
      <w:pPr>
        <w:spacing w:before="40" w:after="0" w:line="240" w:lineRule="auto"/>
        <w:ind w:left="0" w:firstLine="0"/>
        <w:jc w:val="both"/>
      </w:pPr>
      <w:r>
        <w:rPr>
          <w:rFonts w:ascii="Times New Roman" w:hAnsi="Times New Roman"/>
          <w:i w:val="0"/>
          <w:sz w:val="20"/>
        </w:rPr>
        <w:t>Nota: (A) estudos por ano, média móvel centrada de três anos com intervalo de confiança de Poisson exato e produção acumulada, com 2026 em curso; (B) país; (C) sexo da amostra; (D) nível competitivo; (E) delineamento; (F) contexto da medida; percentuais sobre os 36 estudos.</w:t>
      </w:r>
    </w:p>
    <w:p>
      <w:pPr>
        <w:spacing w:before="0" w:after="160" w:line="240" w:lineRule="auto"/>
        <w:ind w:left="0" w:firstLine="0"/>
        <w:jc w:val="left"/>
      </w:pPr>
      <w:r>
        <w:rPr>
          <w:rFonts w:ascii="Times New Roman" w:hAnsi="Times New Roman"/>
          <w:i w:val="0"/>
          <w:sz w:val="20"/>
        </w:rPr>
        <w:t>Fonte: elaborada pelos autores (2026).</w:t>
      </w:r>
    </w:p>
    <w:p>
      <w:pPr>
        <w:keepNext/>
        <w:spacing w:before="120" w:after="60" w:line="240" w:lineRule="auto"/>
        <w:ind w:left="0" w:firstLine="0"/>
        <w:jc w:val="both"/>
      </w:pPr>
      <w:r>
        <w:rPr>
          <w:rFonts w:ascii="Times New Roman" w:hAnsi="Times New Roman"/>
          <w:b/>
          <w:sz w:val="20"/>
        </w:rPr>
        <w:t>Tabela 4</w:t>
      </w:r>
      <w:r>
        <w:rPr>
          <w:rFonts w:ascii="Times New Roman" w:hAnsi="Times New Roman"/>
          <w:i w:val="0"/>
          <w:sz w:val="20"/>
        </w:rPr>
        <w:t xml:space="preserve"> – Características dos estudos incluídos, em ordem cronológica</w:t>
      </w:r>
    </w:p>
    <w:tbl>
      <w:tblPr>
        <w:jc w:val="center"/>
        <w:tblLayout w:type="fixed"/>
        <w:tblLook w:firstColumn="1" w:firstRow="1" w:lastColumn="0" w:lastRow="0" w:noHBand="0" w:noVBand="1" w:val="04A0"/>
        <w:tblW w:w="9071" w:type="dxa"/>
        <w:tblLayout w:type="fixed"/>
      </w:tblPr>
      <w:tblGrid>
        <w:gridCol w:w="1530"/>
        <w:gridCol w:w="819"/>
        <w:gridCol w:w="1093"/>
        <w:gridCol w:w="1311"/>
        <w:gridCol w:w="1038"/>
        <w:gridCol w:w="1420"/>
        <w:gridCol w:w="929"/>
        <w:gridCol w:w="929"/>
      </w:tblGrid>
      <w:tr>
        <w:trPr>
          <w:tblHeader w:val="true"/>
        </w:trPr>
        <w:tc>
          <w:tcPr>
            <w:tcW w:w="1530" w:type="dxa"/>
            <w:tcBorders>
              <w:top w:val="single" w:sz="8" w:color="000000"/>
              <w:left w:val="nil"/>
              <w:bottom w:val="single" w:sz="6" w:color="000000"/>
              <w:right w:val="nil"/>
            </w:tcBorders>
          </w:tcPr>
          <w:p>
            <w:pPr>
              <w:spacing w:lineRule="exact" w:line="190"/>
              <w:jc w:val="center"/>
            </w:pPr>
            <w:r>
              <w:rPr>
                <w:rFonts w:ascii="Times New Roman" w:hAnsi="Times New Roman"/>
                <w:b/>
                <w:sz w:val="16"/>
              </w:rPr>
              <w:t>Estudo</w:t>
            </w:r>
          </w:p>
        </w:tc>
        <w:tc>
          <w:tcPr>
            <w:tcW w:w="819" w:type="dxa"/>
            <w:tcBorders>
              <w:top w:val="single" w:sz="8" w:color="000000"/>
              <w:left w:val="nil"/>
              <w:bottom w:val="single" w:sz="6" w:color="000000"/>
              <w:right w:val="nil"/>
            </w:tcBorders>
          </w:tcPr>
          <w:p>
            <w:pPr>
              <w:spacing w:lineRule="exact" w:line="190"/>
              <w:jc w:val="center"/>
            </w:pPr>
            <w:r>
              <w:rPr>
                <w:rFonts w:ascii="Times New Roman" w:hAnsi="Times New Roman"/>
                <w:b/>
                <w:sz w:val="16"/>
              </w:rPr>
              <w:t>País</w:t>
            </w:r>
          </w:p>
        </w:tc>
        <w:tc>
          <w:tcPr>
            <w:tcW w:w="1093" w:type="dxa"/>
            <w:tcBorders>
              <w:top w:val="single" w:sz="8" w:color="000000"/>
              <w:left w:val="nil"/>
              <w:bottom w:val="single" w:sz="6" w:color="000000"/>
              <w:right w:val="nil"/>
            </w:tcBorders>
          </w:tcPr>
          <w:p>
            <w:pPr>
              <w:spacing w:lineRule="exact" w:line="190"/>
              <w:jc w:val="center"/>
            </w:pPr>
            <w:r>
              <w:rPr>
                <w:rFonts w:ascii="Times New Roman" w:hAnsi="Times New Roman"/>
                <w:b/>
                <w:sz w:val="16"/>
              </w:rPr>
              <w:t>n; sexo; nível</w:t>
            </w:r>
          </w:p>
        </w:tc>
        <w:tc>
          <w:tcPr>
            <w:tcW w:w="1311" w:type="dxa"/>
            <w:tcBorders>
              <w:top w:val="single" w:sz="8" w:color="000000"/>
              <w:left w:val="nil"/>
              <w:bottom w:val="single" w:sz="6" w:color="000000"/>
              <w:right w:val="nil"/>
            </w:tcBorders>
          </w:tcPr>
          <w:p>
            <w:pPr>
              <w:spacing w:lineRule="exact" w:line="190"/>
              <w:jc w:val="center"/>
            </w:pPr>
            <w:r>
              <w:rPr>
                <w:rFonts w:ascii="Times New Roman" w:hAnsi="Times New Roman"/>
                <w:b/>
                <w:sz w:val="16"/>
              </w:rPr>
              <w:t>Delineamento; contexto</w:t>
            </w:r>
          </w:p>
        </w:tc>
        <w:tc>
          <w:tcPr>
            <w:tcW w:w="1038" w:type="dxa"/>
            <w:tcBorders>
              <w:top w:val="single" w:sz="8" w:color="000000"/>
              <w:left w:val="nil"/>
              <w:bottom w:val="single" w:sz="6" w:color="000000"/>
              <w:right w:val="nil"/>
            </w:tcBorders>
          </w:tcPr>
          <w:p>
            <w:pPr>
              <w:spacing w:lineRule="exact" w:line="190"/>
              <w:jc w:val="center"/>
            </w:pPr>
            <w:r>
              <w:rPr>
                <w:rFonts w:ascii="Times New Roman" w:hAnsi="Times New Roman"/>
                <w:b/>
                <w:sz w:val="16"/>
              </w:rPr>
              <w:t>Instrumento</w:t>
            </w:r>
          </w:p>
        </w:tc>
        <w:tc>
          <w:tcPr>
            <w:tcW w:w="1420" w:type="dxa"/>
            <w:tcBorders>
              <w:top w:val="single" w:sz="8" w:color="000000"/>
              <w:left w:val="nil"/>
              <w:bottom w:val="single" w:sz="6" w:color="000000"/>
              <w:right w:val="nil"/>
            </w:tcBorders>
          </w:tcPr>
          <w:p>
            <w:pPr>
              <w:spacing w:lineRule="exact" w:line="190"/>
              <w:jc w:val="center"/>
            </w:pPr>
            <w:r>
              <w:rPr>
                <w:rFonts w:ascii="Times New Roman" w:hAnsi="Times New Roman"/>
                <w:b/>
                <w:sz w:val="16"/>
              </w:rPr>
              <w:t>Humor relacionado com</w:t>
            </w:r>
          </w:p>
        </w:tc>
        <w:tc>
          <w:tcPr>
            <w:tcW w:w="929" w:type="dxa"/>
            <w:tcBorders>
              <w:top w:val="single" w:sz="8" w:color="000000"/>
              <w:left w:val="nil"/>
              <w:bottom w:val="single" w:sz="6" w:color="000000"/>
              <w:right w:val="nil"/>
            </w:tcBorders>
          </w:tcPr>
          <w:p>
            <w:pPr>
              <w:spacing w:lineRule="exact" w:line="190"/>
              <w:jc w:val="center"/>
            </w:pPr>
            <w:r>
              <w:rPr>
                <w:rFonts w:ascii="Times New Roman" w:hAnsi="Times New Roman"/>
                <w:b/>
                <w:sz w:val="16"/>
              </w:rPr>
              <w:t>Direção</w:t>
            </w:r>
          </w:p>
        </w:tc>
        <w:tc>
          <w:tcPr>
            <w:tcW w:w="929" w:type="dxa"/>
            <w:tcBorders>
              <w:top w:val="single" w:sz="8" w:color="000000"/>
              <w:left w:val="nil"/>
              <w:bottom w:val="single" w:sz="6" w:color="000000"/>
              <w:right w:val="nil"/>
            </w:tcBorders>
          </w:tcPr>
          <w:p>
            <w:pPr>
              <w:spacing w:lineRule="exact" w:line="190"/>
              <w:jc w:val="center"/>
            </w:pPr>
            <w:r>
              <w:rPr>
                <w:rFonts w:ascii="Times New Roman" w:hAnsi="Times New Roman"/>
                <w:b/>
                <w:sz w:val="16"/>
              </w:rPr>
              <w:t>Qualidade (0 a 6)</w:t>
            </w:r>
          </w:p>
        </w:tc>
      </w:tr>
      <w:tr>
        <w:tc>
          <w:tcPr>
            <w:tcW w:w="1530" w:type="dxa"/>
            <w:tcBorders>
              <w:top w:val="nil"/>
              <w:left w:val="nil"/>
              <w:bottom w:val="nil"/>
              <w:right w:val="nil"/>
            </w:tcBorders>
          </w:tcPr>
          <w:p>
            <w:pPr>
              <w:spacing w:lineRule="exact" w:line="190" w:before="20" w:after="20"/>
              <w:jc w:val="left"/>
            </w:pPr>
            <w:r>
              <w:rPr>
                <w:rFonts w:ascii="Times New Roman" w:hAnsi="Times New Roman"/>
                <w:i w:val="0"/>
                <w:sz w:val="16"/>
              </w:rPr>
              <w:t>Farzanegi et al. ([2008?])</w:t>
            </w:r>
          </w:p>
        </w:tc>
        <w:tc>
          <w:tcPr>
            <w:tcW w:w="819" w:type="dxa"/>
            <w:tcBorders>
              <w:top w:val="nil"/>
              <w:left w:val="nil"/>
              <w:bottom w:val="nil"/>
              <w:right w:val="nil"/>
            </w:tcBorders>
          </w:tcPr>
          <w:p>
            <w:pPr>
              <w:spacing w:lineRule="exact" w:line="190" w:before="20" w:after="20"/>
              <w:jc w:val="left"/>
            </w:pPr>
            <w:r>
              <w:rPr>
                <w:rFonts w:ascii="Times New Roman" w:hAnsi="Times New Roman"/>
                <w:i w:val="0"/>
                <w:sz w:val="16"/>
              </w:rPr>
              <w:t>Irã</w:t>
            </w:r>
          </w:p>
        </w:tc>
        <w:tc>
          <w:tcPr>
            <w:tcW w:w="1093" w:type="dxa"/>
            <w:tcBorders>
              <w:top w:val="nil"/>
              <w:left w:val="nil"/>
              <w:bottom w:val="nil"/>
              <w:right w:val="nil"/>
            </w:tcBorders>
          </w:tcPr>
          <w:p>
            <w:pPr>
              <w:spacing w:lineRule="exact" w:line="190" w:before="20" w:after="20"/>
              <w:jc w:val="left"/>
            </w:pPr>
            <w:r>
              <w:rPr>
                <w:rFonts w:ascii="Times New Roman" w:hAnsi="Times New Roman"/>
                <w:i w:val="0"/>
                <w:sz w:val="16"/>
              </w:rPr>
              <w:t>n.r.; F; universitário</w:t>
            </w:r>
          </w:p>
        </w:tc>
        <w:tc>
          <w:tcPr>
            <w:tcW w:w="1311" w:type="dxa"/>
            <w:tcBorders>
              <w:top w:val="nil"/>
              <w:left w:val="nil"/>
              <w:bottom w:val="nil"/>
              <w:right w:val="nil"/>
            </w:tcBorders>
          </w:tcPr>
          <w:p>
            <w:pPr>
              <w:spacing w:lineRule="exact" w:line="190" w:before="20" w:after="20"/>
              <w:jc w:val="left"/>
            </w:pPr>
            <w:r>
              <w:rPr>
                <w:rFonts w:ascii="Times New Roman" w:hAnsi="Times New Roman"/>
                <w:i w:val="0"/>
                <w:sz w:val="16"/>
              </w:rPr>
              <w:t>Quase-experimental; competição oficial</w:t>
            </w:r>
          </w:p>
        </w:tc>
        <w:tc>
          <w:tcPr>
            <w:tcW w:w="1038" w:type="dxa"/>
            <w:tcBorders>
              <w:top w:val="nil"/>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nil"/>
              <w:left w:val="nil"/>
              <w:bottom w:val="nil"/>
              <w:right w:val="nil"/>
            </w:tcBorders>
          </w:tcPr>
          <w:p>
            <w:pPr>
              <w:spacing w:lineRule="exact" w:line="190" w:before="20" w:after="20"/>
              <w:jc w:val="left"/>
            </w:pPr>
            <w:r>
              <w:rPr>
                <w:rFonts w:ascii="Times New Roman" w:hAnsi="Times New Roman"/>
                <w:i w:val="0"/>
                <w:sz w:val="16"/>
              </w:rPr>
              <w:t>competição e resultado do jogo; marcadores biológicos</w:t>
            </w:r>
          </w:p>
        </w:tc>
        <w:tc>
          <w:tcPr>
            <w:tcW w:w="929" w:type="dxa"/>
            <w:tcBorders>
              <w:top w:val="nil"/>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nil"/>
              <w:left w:val="nil"/>
              <w:bottom w:val="nil"/>
              <w:right w:val="nil"/>
            </w:tcBorders>
          </w:tcPr>
          <w:p>
            <w:pPr>
              <w:spacing w:lineRule="exact" w:line="190" w:before="20" w:after="0"/>
              <w:jc w:val="center"/>
            </w:pPr>
            <w:r>
              <w:rPr>
                <w:rFonts w:ascii="Times New Roman" w:hAnsi="Times New Roman"/>
                <w:i w:val="0"/>
                <w:sz w:val="16"/>
              </w:rPr>
              <w:t>3</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Bresciani et al. (2010)</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Espanha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14; M; nacional</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Longitudinal; período competitivo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carga e recuperação; marcadores biológicos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Misto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Rocha, Lopes e Moraes (2010)</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Brasil</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18; misto; não relatado</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Cruzado; laboratório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Feeling Scale</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carga e recuperação; marcadores biológicos; intervenção psicológica ou verbal</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4</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Schiavini e Arena (2010)</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Brasil</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51; F; universitário</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Transversal; competição oficial</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Outras escalas de humor</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competição e resultado do jogo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Descritivo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4</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Al-Wattar e Al-Badrane (2014)</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Iraque</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20; n.r.; formação</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Quase-experimental;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BRUMS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intervenção psicológica ou verbal</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2</w:t>
            </w:r>
          </w:p>
          <w:p>
            <w:pPr>
              <w:spacing w:lineRule="exact" w:line="190" w:before="0" w:after="20"/>
              <w:jc w:val="center"/>
            </w:pPr>
            <w:r>
              <w:rPr>
                <w:rFonts w:ascii="Times New Roman" w:hAnsi="Times New Roman"/>
                <w:i w:val="0"/>
                <w:sz w:val="16"/>
              </w:rPr>
              <w:t>(baixa)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Zurita Ortega et al. (2014)</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Espanha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48; F; nacional</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Longitudinal; período competitivo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lesão e dor; variáveis psicológicas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N.d.</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4</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Montes e Gomes (2014)</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Portugal</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14; M; nacional</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Longitudinal; período competitivo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carga e recuperação; desempenho físico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Misto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4</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Pereira et al. (2014)</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Brasil</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7; F; escolar</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Transversal;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marcadores biológicos; carga e recuperação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Sem 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Lagner et al. (2015)</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Alemanha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61; M; amador</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Quase-experimental; competição oficial</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SAM (afeto)</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competição e resultado do jogo; variáveis psicológicas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Buchheit (2015)</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Não relatado</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37; n.r.; formação</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Longitudinal; período competitivo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carga e recuperação; desempenho físico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Sem 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3</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Khazdozi, Bahari e Ashayeri (2017)</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Irã</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24; F; nacional</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Quase-experimental;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Outras escalas de humor</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intervenção psicológica ou verbal; variáveis psicológicas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2</w:t>
            </w:r>
          </w:p>
          <w:p>
            <w:pPr>
              <w:spacing w:lineRule="exact" w:line="190" w:before="0" w:after="20"/>
              <w:jc w:val="center"/>
            </w:pPr>
            <w:r>
              <w:rPr>
                <w:rFonts w:ascii="Times New Roman" w:hAnsi="Times New Roman"/>
                <w:i w:val="0"/>
                <w:sz w:val="16"/>
              </w:rPr>
              <w:t>(baixa)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Obregón Sibón et al. (2017)</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Não relatado</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12; M; não relatado</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Quase-experimental; competição oficial</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competição e resultado do jogo; lesão e dor</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Misto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3</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Assunção Carvalho et al. (2018)</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Brasil</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25; M; formação</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Ensaio randomizado;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nutrição e suplementação; marcadores biológicos; desempenho físico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Misto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6</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Durai e Athisayaraj (2018)</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Índia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12; M; universitário</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Transversal; não relatado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comparação entre modalidades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3</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Padilhas et al. (2018)</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Brasil</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17; F; elite</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Longitudinal;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carga e recuperação; marcadores biológicos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Misto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4</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Lisenchuk et al. (2019)</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Ucrânia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32; F; elite</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Transversal;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Outras escalas de humor</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ciclo menstrual</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2</w:t>
            </w:r>
          </w:p>
          <w:p>
            <w:pPr>
              <w:spacing w:lineRule="exact" w:line="190" w:before="0" w:after="20"/>
              <w:jc w:val="center"/>
            </w:pPr>
            <w:r>
              <w:rPr>
                <w:rFonts w:ascii="Times New Roman" w:hAnsi="Times New Roman"/>
                <w:i w:val="0"/>
                <w:sz w:val="16"/>
              </w:rPr>
              <w:t>(baixa)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Mon-López et al. (2020)</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Espanha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187; misto; elite</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Transversal; confinamento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carga e recuperação; variáveis psicológicas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Reigal et al. (2020)</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Espanha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181; misto; nacional</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Transversal; competição oficial</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variáveis psicológicas; competição e resultado do jogo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Soto, García-Herrero e Carcedo (2020)</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Chile</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39; F; elite</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Ensaio randomizado; laboratório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PANAS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intervenção psicológica ou verbal; desempenho técnico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Misto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6</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Nugraha, Wibowo e Firmansyah (2020)</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Indonésia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40; misto; escolar</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Transversal;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Outras escalas de humor</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desempenho técnico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Batalla-Gavalda et al. (2021)</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Espanha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16; F; formação</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Longitudinal; confinamento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comparação entre modalidades; variáveis psicológicas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Misto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6</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García-Herrero et al. (2022)</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Espanha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73; F; elite</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Ensaio randomizado; laboratório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PANAS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intervenção psicológica ou verbal; desempenho técnico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Sem 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6</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Ghazel et al. (2022)</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Tunísia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14; F; não relatado</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Cruzado; laboratório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ciclo menstrual; desempenho físico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3</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Sahli et al. (2022)</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Tunísia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20; M; escolar</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Cruzado;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Feeling Scale</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intervenção psicológica ou verbal; desempenho técnico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6</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Essid et al. (2022)</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Tunísia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18; M; elite</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Cruzado; laboratório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horário do dia; desempenho físico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4</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Lujic, Prskalo e Bratko (2023)</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Croácia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407; n.r.; formação</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Transversal;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PANAS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variáveis psicológicas; comparação entre modalidades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4</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Miralles-Amorós et al. (2023)</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Espanha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21; F; elite</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Ensaio randomizado; período competitivo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nutrição e suplementação; variáveis psicológicas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Misto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6</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Ivanović e Ivanović (2023)</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Sérvia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132; n.r.; formação</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Transversal;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PANAS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variáveis psicológicas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4</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Morenas-Aguilar et al. (2023)</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Não relatado</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8; F; amador</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Longitudinal;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SAM (afeto)</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ciclo menstrual; desempenho físico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Sem 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Sahli et al. (2024)</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Tunísia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28; misto; escolar</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Ensaio randomizado;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BRUMS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intervenção psicológica ou verbal; desempenho técnico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6</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Akroush et al. (2025)</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Jordânia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76; M; nacional</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Transversal; período competitivo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Outras escalas de humor</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variáveis psicológicas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Sem 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2</w:t>
            </w:r>
          </w:p>
          <w:p>
            <w:pPr>
              <w:spacing w:lineRule="exact" w:line="190" w:before="0" w:after="20"/>
              <w:jc w:val="center"/>
            </w:pPr>
            <w:r>
              <w:rPr>
                <w:rFonts w:ascii="Times New Roman" w:hAnsi="Times New Roman"/>
                <w:i w:val="0"/>
                <w:sz w:val="16"/>
              </w:rPr>
              <w:t>(baixa)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Batalla-Gavalda et al. (2025)</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Espanha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16; F; amador</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Cruzado; competição oficial</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carga e recuperação; competição e resultado do jogo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Misto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6</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Aydi et al. (2025)</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Tunísia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16; M; escolar</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Cruzado;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BRUMS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intervenção psicológica ou verbal; desempenho técnico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Diachenko e Tyshchenko (2025)</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Ucrânia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28; F; formação</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Quase-experimental;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Outras escalas de humor</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intervenção psicológica ou verbal; variáveis psicológicas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3</w:t>
            </w:r>
          </w:p>
          <w:p>
            <w:pPr>
              <w:spacing w:lineRule="exact" w:line="190" w:before="0" w:after="20"/>
              <w:jc w:val="center"/>
            </w:pPr>
            <w:r>
              <w:rPr>
                <w:rFonts w:ascii="Times New Roman" w:hAnsi="Times New Roman"/>
                <w:i w:val="0"/>
                <w:sz w:val="16"/>
              </w:rPr>
              <w:t>(moderada)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Batalla-Gavalda et al. (2026)</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Espanha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16; F; amador</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Cruzado; competição oficial</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carga e recuperação; competição e resultado do jogo</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Misto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Ratz-Sulyok et al. (2026b)</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Hungria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584; misto; elite</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Transversal; laboratório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marcadores biológicos; variáveis psicológicas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Misto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Bugten et al. (2026)</w:t>
            </w:r>
          </w:p>
        </w:tc>
        <w:tc>
          <w:tcPr>
            <w:tcW w:w="819"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Noruega</w:t>
            </w:r>
          </w:p>
        </w:tc>
        <w:tc>
          <w:tcPr>
            <w:tcW w:w="1093"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50; F; formação</w:t>
            </w:r>
          </w:p>
        </w:tc>
        <w:tc>
          <w:tcPr>
            <w:tcW w:w="1311"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Longitudinal; treinamento</w:t>
            </w:r>
          </w:p>
        </w:tc>
        <w:tc>
          <w:tcPr>
            <w:tcW w:w="1038"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Feeling Scale</w:t>
            </w:r>
          </w:p>
        </w:tc>
        <w:tc>
          <w:tcPr>
            <w:tcW w:w="1420" w:type="dxa"/>
            <w:tcBorders>
              <w:top w:val="single" w:sz="4" w:color="000000"/>
              <w:left w:val="nil"/>
              <w:bottom w:val="nil"/>
              <w:right w:val="nil"/>
            </w:tcBorders>
          </w:tcPr>
          <w:p>
            <w:pPr>
              <w:spacing w:lineRule="exact" w:line="190" w:before="20" w:after="20"/>
              <w:jc w:val="left"/>
            </w:pPr>
            <w:r>
              <w:rPr>
                <w:rFonts w:ascii="Times New Roman" w:hAnsi="Times New Roman"/>
                <w:i w:val="0"/>
                <w:sz w:val="16"/>
              </w:rPr>
              <w:t>carga e recuperação; variáveis psicológicas</w:t>
            </w:r>
          </w:p>
        </w:tc>
        <w:tc>
          <w:tcPr>
            <w:tcW w:w="929" w:type="dxa"/>
            <w:tcBorders>
              <w:top w:val="single" w:sz="4" w:color="000000"/>
              <w:left w:val="nil"/>
              <w:bottom w:val="nil"/>
              <w:right w:val="nil"/>
            </w:tcBorders>
          </w:tcPr>
          <w:p>
            <w:pPr>
              <w:spacing w:lineRule="exact" w:line="190" w:before="20" w:after="20"/>
              <w:jc w:val="center"/>
            </w:pPr>
            <w:r>
              <w:rPr>
                <w:rFonts w:ascii="Times New Roman" w:hAnsi="Times New Roman"/>
                <w:i w:val="0"/>
                <w:sz w:val="16"/>
              </w:rPr>
              <w:t>Efeito</w:t>
            </w:r>
          </w:p>
        </w:tc>
        <w:tc>
          <w:tcPr>
            <w:tcW w:w="929" w:type="dxa"/>
            <w:tcBorders>
              <w:top w:val="single" w:sz="4" w:color="000000"/>
              <w:left w:val="nil"/>
              <w:bottom w:val="nil"/>
              <w:right w:val="nil"/>
            </w:tcBorders>
          </w:tcPr>
          <w:p>
            <w:pPr>
              <w:spacing w:lineRule="exact" w:line="190" w:before="20" w:after="0"/>
              <w:jc w:val="center"/>
            </w:pPr>
            <w:r>
              <w:rPr>
                <w:rFonts w:ascii="Times New Roman" w:hAnsi="Times New Roman"/>
                <w:i w:val="0"/>
                <w:sz w:val="16"/>
              </w:rPr>
              <w:t>6</w:t>
            </w:r>
          </w:p>
          <w:p>
            <w:pPr>
              <w:spacing w:lineRule="exact" w:line="190" w:before="0" w:after="20"/>
              <w:jc w:val="center"/>
            </w:pPr>
            <w:r>
              <w:rPr>
                <w:rFonts w:ascii="Times New Roman" w:hAnsi="Times New Roman"/>
                <w:i w:val="0"/>
                <w:sz w:val="16"/>
              </w:rPr>
              <w:t>(alta)</w:t>
            </w:r>
          </w:p>
        </w:tc>
      </w:tr>
      <w:tr>
        <w:tc>
          <w:tcPr>
            <w:tcW w:w="1530" w:type="dxa"/>
            <w:tcBorders>
              <w:top w:val="single" w:sz="4" w:color="000000"/>
              <w:left w:val="nil"/>
              <w:bottom w:val="single" w:sz="8" w:color="000000"/>
              <w:right w:val="nil"/>
            </w:tcBorders>
          </w:tcPr>
          <w:p>
            <w:pPr>
              <w:spacing w:lineRule="exact" w:line="190" w:before="20" w:after="20"/>
              <w:jc w:val="left"/>
            </w:pPr>
            <w:r>
              <w:rPr>
                <w:rFonts w:ascii="Times New Roman" w:hAnsi="Times New Roman"/>
                <w:i w:val="0"/>
                <w:sz w:val="16"/>
              </w:rPr>
              <w:t>Ratz-Sulyok et al. (2026a)</w:t>
            </w:r>
          </w:p>
        </w:tc>
        <w:tc>
          <w:tcPr>
            <w:tcW w:w="819" w:type="dxa"/>
            <w:tcBorders>
              <w:top w:val="single" w:sz="4" w:color="000000"/>
              <w:left w:val="nil"/>
              <w:bottom w:val="single" w:sz="8" w:color="000000"/>
              <w:right w:val="nil"/>
            </w:tcBorders>
          </w:tcPr>
          <w:p>
            <w:pPr>
              <w:spacing w:lineRule="exact" w:line="190" w:before="20" w:after="20"/>
              <w:jc w:val="left"/>
            </w:pPr>
            <w:r>
              <w:rPr>
                <w:rFonts w:ascii="Times New Roman" w:hAnsi="Times New Roman"/>
                <w:i w:val="0"/>
                <w:sz w:val="16"/>
              </w:rPr>
              <w:t>Hungria</w:t>
            </w:r>
          </w:p>
        </w:tc>
        <w:tc>
          <w:tcPr>
            <w:tcW w:w="1093" w:type="dxa"/>
            <w:tcBorders>
              <w:top w:val="single" w:sz="4" w:color="000000"/>
              <w:left w:val="nil"/>
              <w:bottom w:val="single" w:sz="8" w:color="000000"/>
              <w:right w:val="nil"/>
            </w:tcBorders>
          </w:tcPr>
          <w:p>
            <w:pPr>
              <w:spacing w:lineRule="exact" w:line="190" w:before="20" w:after="20"/>
              <w:jc w:val="left"/>
            </w:pPr>
            <w:r>
              <w:rPr>
                <w:rFonts w:ascii="Times New Roman" w:hAnsi="Times New Roman"/>
                <w:i w:val="0"/>
                <w:sz w:val="16"/>
              </w:rPr>
              <w:t>584; misto; elite</w:t>
            </w:r>
          </w:p>
        </w:tc>
        <w:tc>
          <w:tcPr>
            <w:tcW w:w="1311" w:type="dxa"/>
            <w:tcBorders>
              <w:top w:val="single" w:sz="4" w:color="000000"/>
              <w:left w:val="nil"/>
              <w:bottom w:val="single" w:sz="8" w:color="000000"/>
              <w:right w:val="nil"/>
            </w:tcBorders>
          </w:tcPr>
          <w:p>
            <w:pPr>
              <w:spacing w:lineRule="exact" w:line="190" w:before="20" w:after="20"/>
              <w:jc w:val="left"/>
            </w:pPr>
            <w:r>
              <w:rPr>
                <w:rFonts w:ascii="Times New Roman" w:hAnsi="Times New Roman"/>
                <w:i w:val="0"/>
                <w:sz w:val="16"/>
              </w:rPr>
              <w:t>Transversal; laboratório</w:t>
            </w:r>
          </w:p>
        </w:tc>
        <w:tc>
          <w:tcPr>
            <w:tcW w:w="1038" w:type="dxa"/>
            <w:tcBorders>
              <w:top w:val="single" w:sz="4" w:color="000000"/>
              <w:left w:val="nil"/>
              <w:bottom w:val="single" w:sz="8" w:color="000000"/>
              <w:right w:val="nil"/>
            </w:tcBorders>
          </w:tcPr>
          <w:p>
            <w:pPr>
              <w:spacing w:lineRule="exact" w:line="190" w:before="20" w:after="20"/>
              <w:jc w:val="left"/>
            </w:pPr>
            <w:r>
              <w:rPr>
                <w:rFonts w:ascii="Times New Roman" w:hAnsi="Times New Roman"/>
                <w:i w:val="0"/>
                <w:sz w:val="16"/>
              </w:rPr>
              <w:t>POMS</w:t>
            </w:r>
          </w:p>
        </w:tc>
        <w:tc>
          <w:tcPr>
            <w:tcW w:w="1420" w:type="dxa"/>
            <w:tcBorders>
              <w:top w:val="single" w:sz="4" w:color="000000"/>
              <w:left w:val="nil"/>
              <w:bottom w:val="single" w:sz="8" w:color="000000"/>
              <w:right w:val="nil"/>
            </w:tcBorders>
          </w:tcPr>
          <w:p>
            <w:pPr>
              <w:spacing w:lineRule="exact" w:line="190" w:before="20" w:after="20"/>
              <w:jc w:val="left"/>
            </w:pPr>
            <w:r>
              <w:rPr>
                <w:rFonts w:ascii="Times New Roman" w:hAnsi="Times New Roman"/>
                <w:i w:val="0"/>
                <w:sz w:val="16"/>
              </w:rPr>
              <w:t>marcadores biológicos; variáveis psicológicas</w:t>
            </w:r>
          </w:p>
        </w:tc>
        <w:tc>
          <w:tcPr>
            <w:tcW w:w="929" w:type="dxa"/>
            <w:tcBorders>
              <w:top w:val="single" w:sz="4" w:color="000000"/>
              <w:left w:val="nil"/>
              <w:bottom w:val="single" w:sz="8" w:color="000000"/>
              <w:right w:val="nil"/>
            </w:tcBorders>
          </w:tcPr>
          <w:p>
            <w:pPr>
              <w:spacing w:lineRule="exact" w:line="190" w:before="20" w:after="20"/>
              <w:jc w:val="center"/>
            </w:pPr>
            <w:r>
              <w:rPr>
                <w:rFonts w:ascii="Times New Roman" w:hAnsi="Times New Roman"/>
                <w:i w:val="0"/>
                <w:sz w:val="16"/>
              </w:rPr>
              <w:t>Misto</w:t>
            </w:r>
          </w:p>
        </w:tc>
        <w:tc>
          <w:tcPr>
            <w:tcW w:w="929" w:type="dxa"/>
            <w:tcBorders>
              <w:top w:val="single" w:sz="4" w:color="000000"/>
              <w:left w:val="nil"/>
              <w:bottom w:val="single" w:sz="8" w:color="000000"/>
              <w:right w:val="nil"/>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bl>
    <w:p>
      <w:pPr>
        <w:spacing w:before="40" w:after="0" w:line="240" w:lineRule="auto"/>
        <w:ind w:left="0" w:firstLine="0"/>
        <w:jc w:val="both"/>
      </w:pPr>
      <w:r>
        <w:rPr>
          <w:rFonts w:ascii="Times New Roman" w:hAnsi="Times New Roman"/>
          <w:i w:val="0"/>
          <w:sz w:val="20"/>
        </w:rPr>
        <w:t>Nota: F: feminino; M: masculino; n.r.: não relatado; Efeito: efeito ou associação relatado; N.d.: não determinável; POMS: Profile of Mood States; BRUMS: Brunel Mood Scale; PANAS: Positive and Negative Affect Schedule; SAM: Self-Assessment Manikin; SAN: questionário de bem-estar, atividade e humor. Os relatórios (BATALLA-GAVALDA et al., 2025, 2026) descrevem a mesma amostra, assim como os relatórios (RATZ-SULYOK et al., 2026a, 2026b).</w:t>
      </w:r>
    </w:p>
    <w:p>
      <w:pPr>
        <w:spacing w:before="0" w:after="160" w:line="240" w:lineRule="auto"/>
        <w:ind w:left="0" w:firstLine="0"/>
        <w:jc w:val="left"/>
      </w:pPr>
      <w:r>
        <w:rPr>
          <w:rFonts w:ascii="Times New Roman" w:hAnsi="Times New Roman"/>
          <w:i w:val="0"/>
          <w:sz w:val="20"/>
        </w:rPr>
        <w:t>Fonte: elaborada pelos autores (2026).</w:t>
      </w:r>
    </w:p>
    <w:p>
      <w:pPr>
        <w:keepNext/>
        <w:spacing w:before="240" w:after="120" w:line="360" w:lineRule="auto"/>
        <w:ind w:left="0" w:firstLine="0"/>
        <w:jc w:val="left"/>
      </w:pPr>
      <w:r>
        <w:rPr>
          <w:rFonts w:ascii="Times New Roman" w:hAnsi="Times New Roman"/>
          <w:b/>
          <w:sz w:val="24"/>
        </w:rPr>
        <w:t>3.3 Instrumentos, dimensões e momento da medida (QP2)</w:t>
      </w:r>
    </w:p>
    <w:p>
      <w:pPr>
        <w:spacing w:before="0" w:after="0" w:line="360" w:lineRule="auto"/>
        <w:ind w:left="0" w:firstLine="709"/>
        <w:jc w:val="both"/>
      </w:pPr>
      <w:r>
        <w:rPr>
          <w:rFonts w:ascii="Times New Roman" w:hAnsi="Times New Roman"/>
          <w:i w:val="0"/>
          <w:sz w:val="24"/>
        </w:rPr>
        <w:t>O Profile of Mood States (POMS) e suas versões, com 30, 36, 48, 58 ou 65 itens, foram empregados em 18 estudos (50,0%); a Brunel Mood Scale, em três (AL-WATTAR; AL-BADRANE, 2014; AYDI et al., 2025; SAHLI et al., 2024); a escala de afeto positivo e negativo (PANAS), em quatro (GARCÍA-HERRERO et al., 2022; IVANOVIĆ; IVANOVIĆ, 2023; LUJIC; PRSKALO; BRATKO, 2023; SOTO; GARCÍA-HERRERO; CARCEDO, 2020); a Feeling Scale, em três (BUGTEN et al., 2026; ROCHA; LOPES; MORAES, 2010; SAHLI et al., 2022); e a subescala afetiva do Self-Assessment Manikin, em dois (LAGNER et al., 2015; MORENAS-AGUILAR et al., 2023). Seis estudos usaram escalas menos difundidas: listas de adjetivos de estados de ânimo (SCHIAVINI; ARENA, 2010), a Brief Mood Introspection Scale (NUGRAHA; WIBOWO; FIRMANSYAH, 2020), o método EMPA (LISENCHUK et al., 2019), o questionário SAN, de bem-estar, atividade e humor (DIACHENKO; TYSHCHENKO, 2025), uma lista de padrões de humor próxima do temperamento (AKROUSH et al., 2025) e um questionário de humor de validade incerta (KHAZDOZI; BAHARI; ASHAYERI, 2017) (Figura 3A). Em parte dos estudos com o POMS, apenas algumas dimensões foram relatadas, como a tensão ou a fadiga (MONTES; GOMES, 2014; PADILHAS et al., 2018); em outro, o escore total entrou em um modelo conjunto sem relato do efeito do humor (ZURITA ORTEGA et al., 2014). O momento da medida foi declarado com precisão em 27 estudos e ficou incerto ou ausente nos demais, o que limita a interpretação dos escores.</w:t>
      </w:r>
    </w:p>
    <w:p>
      <w:pPr>
        <w:spacing w:before="0" w:after="0" w:line="360" w:lineRule="auto"/>
        <w:ind w:left="0" w:firstLine="709"/>
        <w:jc w:val="both"/>
      </w:pPr>
      <w:r>
        <w:rPr>
          <w:rFonts w:ascii="Times New Roman" w:hAnsi="Times New Roman"/>
          <w:i w:val="0"/>
          <w:sz w:val="24"/>
        </w:rPr>
        <w:t>Entre os estudos com o POMS, a versão de 65 itens foi usada em três (BRESCIANI et al., 2010; RATZ-SULYOK et al., 2026b; REIGAL et al., 2020), a de 58 itens em dois estudos, descritos em três relatórios (BATALLA-GAVALDA et al., 2021, 2025, 2026), a de 48 itens em um (ZURITA ORTEGA et al., 2014), a de 36 itens, adaptada ao esporte por Raglin e Morgan, em um (ASSUNÇÃO CARVALHO et al., 2018), e a de 30 itens em dois (MIRALLES-AMORÓS et al., 2023; MON-LÓPEZ et al., 2020). Duas versões reduzidas não declararam o número de itens (OBREGÓN SIBÓN et al., 2017; PEREIRA et al., 2014), e seis estudos não relataram a versão (BUCHHEIT, 2015; ESSID et al., 2022; FARZANEGI et al., [2008?]; GHAZEL et al., 2022; MONTES; GOMES, 2014; PADILHAS et al., 2018). As adaptações declaradas foram sobretudo espanholas (BATALLA-GAVALDA et al., 2021, 2025; BRESCIANI et al., 2010; MON-LÓPEZ et al., 2020; REIGAL et al., 2020; ZURITA ORTEGA et al., 2014), e a escala de resposta de 0 a 4 foi informada em três estudos (MIRALLES-AMORÓS et al., 2023; PEREIRA et al., 2014; REIGAL et al., 2020). A perturbação total constou de sete estudos com o POMS (ASSUNÇÃO CARVALHO et al., 2018; BATALLA-GAVALDA et al., 2021, 2025; BRESCIANI et al., 2010; PADILHAS et al., 2018; PEREIRA et al., 2014; RATZ-SULYOK et al., 2026b). Dois estudos incluíram a dimensão amizade (MON-LÓPEZ et al., 2020; ZURITA ORTEGA et al., 2014), e dois denominaram a raiva de hostilidade (ASSUNÇÃO CARVALHO et al., 2018; PEREIRA et al., 2014).</w:t>
      </w:r>
    </w:p>
    <w:p>
      <w:pPr>
        <w:spacing w:before="0" w:after="0" w:line="360" w:lineRule="auto"/>
        <w:ind w:left="0" w:firstLine="709"/>
        <w:jc w:val="both"/>
      </w:pPr>
      <w:r>
        <w:rPr>
          <w:rFonts w:ascii="Times New Roman" w:hAnsi="Times New Roman"/>
          <w:i w:val="0"/>
          <w:sz w:val="24"/>
        </w:rPr>
        <w:t>A Brunel Mood Scale teve versão árabe em dois estudos (AL-WATTAR; AL-BADRANE, 2014; SAHLI et al., 2024) e forma de 24 itens em dois (AYDI et al., 2025; SAHLI et al., 2024), com as seis dimensões nos três. O PANAS foi aplicado na versão espanhola de 20 itens (GARCÍA-HERRERO et al., 2022; SOTO; GARCÍA-HERRERO; CARCEDO, 2020), na adaptação croata de 16 itens, com escala de 1 a 7 (LUJIC; PRSKALO; BRATKO, 2023), e na versão sérvia (IVANOVIĆ; IVANOVIĆ, 2023). A Feeling Scale variou de -5 a +5 nos três estudos, com versão norueguesa adaptada em um deles (BUGTEN et al., 2026), e o SAM teve escala de 9 pontos em um estudo (LAGNER et al., 2015). Entre as demais escalas, a LEA-RI reuniu 14 adjetivos (SCHIAVINI; ARENA, 2010), a BMIS, 16 itens com escala de 4 pontos (NUGRAHA; WIBOWO; FIRMANSYAH, 2020), o questionário persa atribuído a Brooms, 32 itens e oito componentes (KHAZDOZI; BAHARI; ASHAYERI, 2017), e a lista de Allawi, 20 itens na forma final (AKROUSH et al., 2025).</w:t>
      </w:r>
    </w:p>
    <w:p>
      <w:pPr>
        <w:spacing w:before="0" w:after="0" w:line="360" w:lineRule="auto"/>
        <w:ind w:left="0" w:firstLine="709"/>
        <w:jc w:val="both"/>
      </w:pPr>
      <w:r>
        <w:rPr>
          <w:rFonts w:ascii="Times New Roman" w:hAnsi="Times New Roman"/>
          <w:i w:val="0"/>
          <w:sz w:val="24"/>
        </w:rPr>
        <w:t>Quanto ao momento da medida, em competição o humor foi avaliado antes e depois do jogo (FARZANEGI et al., [2008?]; OBREGÓN SIBÓN et al., 2017), cerca de 40 a 45 min antes de cada jogo da semifinal (SCHIAVINI; ARENA, 2010), 24 h antes do primeiro jogo da competição (REIGAL et al., 2020) e antes de cada um dos 10 jogos oficiais (BATALLA-GAVALDA et al., 2025). Nas sessões, a medida ocorreu 11 vezes durante cada corrida de 20 min (ROCHA; LOPES; MORAES, 2010), antes e depois de cada jogo, sessão ou tarefa (AYDI et al., 2025; GARCÍA-HERRERO et al., 2022; SAHLI et al., 2024; SOTO; GARCÍA-HERRERO; CARCEDO, 2020) e cerca de 15 min antes e logo depois de 11 a 12 sessões de treino (BUGTEN et al., 2026). Ao longo da temporada, houve cinco medidas em 40 semanas (BRESCIANI et al., 2010), medidas mensais de novembro de 2010 a maio de 2011 (ZURITA ORTEGA et al., 2014) e 11 ocasiões mensais de setembro a maio (BUCHHEIT, 2015). Nos estudos sobre o ciclo menstrual, cada atleta foi avaliada uma vez na fase em que se encontrava (LISENCHUK et al., 2019), ou foi medida em cada fase (GHAZEL et al., 2022), ou no início de seis sessões distribuídas por três fases (MORENAS-AGUILAR et al., 2023). Durante o confinamento, as medidas ocorreram após cerca de 35 dias de isolamento (MON-LÓPEZ et al., 2020) e nas semanas 1, 6 e 10 (BATALLA-GAVALDA et al., 2021), e um estudo comparou três horários do dia, às 10h, às 14h e às 18h (ESSID et al., 2022). O momento não foi relatado em três estudos (AKROUSH et al., 2025; DIACHENKO; TYSHCHENKO, 2025; DURAI; ATHISAYARAJ, 2018).</w:t>
      </w:r>
    </w:p>
    <w:p>
      <w:pPr>
        <w:keepNext/>
        <w:spacing w:before="120" w:after="60" w:line="240" w:lineRule="auto"/>
        <w:ind w:left="0" w:firstLine="0"/>
        <w:jc w:val="both"/>
      </w:pPr>
      <w:r>
        <w:rPr>
          <w:rFonts w:ascii="Times New Roman" w:hAnsi="Times New Roman"/>
          <w:b/>
          <w:sz w:val="20"/>
        </w:rPr>
        <w:t>Figura 3</w:t>
      </w:r>
      <w:r>
        <w:rPr>
          <w:rFonts w:ascii="Times New Roman" w:hAnsi="Times New Roman"/>
          <w:i w:val="0"/>
          <w:sz w:val="20"/>
        </w:rPr>
        <w:t xml:space="preserve"> – Instrumentos, variáveis relacionadas ao humor e direção dos achados (QP2 a QP4)</w:t>
      </w:r>
    </w:p>
    <w:p>
      <w:pPr>
        <w:keepNext/>
        <w:spacing w:before="0" w:after="0" w:line="240" w:lineRule="auto"/>
        <w:ind w:left="0" w:firstLine="0"/>
        <w:jc w:val="center"/>
      </w:pPr>
      <w:r>
        <w:drawing>
          <wp:inline xmlns:a="http://schemas.openxmlformats.org/drawingml/2006/main" xmlns:pic="http://schemas.openxmlformats.org/drawingml/2006/picture">
            <wp:extent cx="4860000" cy="5207401"/>
            <wp:docPr id="3" name="Picture 3"/>
            <wp:cNvGraphicFramePr>
              <a:graphicFrameLocks noChangeAspect="1"/>
            </wp:cNvGraphicFramePr>
            <a:graphic>
              <a:graphicData uri="http://schemas.openxmlformats.org/drawingml/2006/picture">
                <pic:pic>
                  <pic:nvPicPr>
                    <pic:cNvPr id="0" name="Figura3_Instrumentos_Relacoes_RS.png"/>
                    <pic:cNvPicPr/>
                  </pic:nvPicPr>
                  <pic:blipFill>
                    <a:blip r:embed="rId12"/>
                    <a:stretch>
                      <a:fillRect/>
                    </a:stretch>
                  </pic:blipFill>
                  <pic:spPr>
                    <a:xfrm>
                      <a:off x="0" y="0"/>
                      <a:ext cx="4860000" cy="5207401"/>
                    </a:xfrm>
                    <a:prstGeom prst="rect"/>
                  </pic:spPr>
                </pic:pic>
              </a:graphicData>
            </a:graphic>
          </wp:inline>
        </w:drawing>
      </w:r>
    </w:p>
    <w:p>
      <w:pPr>
        <w:spacing w:before="40" w:after="0" w:line="240" w:lineRule="auto"/>
        <w:ind w:left="0" w:firstLine="0"/>
        <w:jc w:val="both"/>
      </w:pPr>
      <w:r>
        <w:rPr>
          <w:rFonts w:ascii="Times New Roman" w:hAnsi="Times New Roman"/>
          <w:i w:val="0"/>
          <w:sz w:val="20"/>
        </w:rPr>
        <w:t>Nota: (A) família de instrumento; (B) direção do achado por família de instrumento; (C) gráfico de direção do efeito por variável relacionada ao humor, conforme a diretriz SWiM; um estudo pode relacionar o humor a mais de uma variável.</w:t>
      </w:r>
    </w:p>
    <w:p>
      <w:pPr>
        <w:spacing w:before="0" w:after="160" w:line="240" w:lineRule="auto"/>
        <w:ind w:left="0" w:firstLine="0"/>
        <w:jc w:val="left"/>
      </w:pPr>
      <w:r>
        <w:rPr>
          <w:rFonts w:ascii="Times New Roman" w:hAnsi="Times New Roman"/>
          <w:i w:val="0"/>
          <w:sz w:val="20"/>
        </w:rPr>
        <w:t>Fonte: elaborada pelos autores (2026).</w:t>
      </w:r>
    </w:p>
    <w:p>
      <w:pPr>
        <w:keepNext/>
        <w:spacing w:before="240" w:after="120" w:line="360" w:lineRule="auto"/>
        <w:ind w:left="0" w:firstLine="0"/>
        <w:jc w:val="left"/>
      </w:pPr>
      <w:r>
        <w:rPr>
          <w:rFonts w:ascii="Times New Roman" w:hAnsi="Times New Roman"/>
          <w:b/>
          <w:sz w:val="24"/>
        </w:rPr>
        <w:t>3.4 Variáveis relacionadas ao humor e resultados (QP3)</w:t>
      </w:r>
    </w:p>
    <w:p>
      <w:pPr>
        <w:spacing w:before="0" w:after="0" w:line="360" w:lineRule="auto"/>
        <w:ind w:left="0" w:firstLine="709"/>
        <w:jc w:val="both"/>
      </w:pPr>
      <w:r>
        <w:rPr>
          <w:rFonts w:ascii="Times New Roman" w:hAnsi="Times New Roman"/>
          <w:i w:val="0"/>
          <w:sz w:val="24"/>
        </w:rPr>
        <w:t>O humor relacionou-se a variáveis psicológicas em 13 estudos, a intervenções verbais ou psicológicas em 9, à carga e à recuperação em 9, a marcadores biológicos em 7, e à competição e ao resultado do jogo, ao desempenho físico e ao desempenho técnico em 6 cada (Figura 3C). Entre os 36 estudos, 19 relataram efeito ou associação, 10 resultados mistos e cinco ausência de efeito; um foi apenas descritivo, e em outro a direção não pôde ser determinada. A Tabela 5 sintetiza os achados por grupo de variáveis.</w:t>
      </w:r>
    </w:p>
    <w:p>
      <w:pPr>
        <w:spacing w:before="0" w:after="0" w:line="360" w:lineRule="auto"/>
        <w:ind w:left="0" w:firstLine="709"/>
        <w:jc w:val="both"/>
      </w:pPr>
      <w:r>
        <w:rPr>
          <w:rFonts w:ascii="Times New Roman" w:hAnsi="Times New Roman"/>
          <w:b/>
          <w:sz w:val="24"/>
        </w:rPr>
        <w:t>Competição e resultado do jogo.</w:t>
      </w:r>
      <w:r>
        <w:rPr>
          <w:rFonts w:ascii="Times New Roman" w:hAnsi="Times New Roman"/>
          <w:i w:val="0"/>
          <w:sz w:val="24"/>
        </w:rPr>
        <w:t xml:space="preserve"> A vitória em jogo oficial associou-se a humor mais positivo que o registrado após o treino, e o humor explicou as diferenças de memória observadas depois do jogo (LAGNER et al., 2015). Equipes universitárias com estados de ânimo mais positivos antes da semifinal venceram as partidas (SCHIAVINI; ARENA, 2010). O escore do POMS e o cortisol salivar aumentaram na competição, com variação dependente do resultado (FARZANEGI et al., [2008?]). Em jogadoras amadoras, o jogo oficial produziu perfil de humor menos perturbado que o teste intermitente Yo-Yo IR1, com menor depressão e fadiga, e diferiu apenas de modo trivial do teste baseado no jogo (BATALLA-GAVALDA et al., 2025, 2026). Após partidas oficiais, a fadiga e o vigor de 12 jogadores variaram, sem alteração da tensão, e essas dimensões correlacionaram-se com o limiar de dor à pressão da musculatura do ombro (OBREGÓN SIBÓN et al., 2017).</w:t>
      </w:r>
    </w:p>
    <w:p>
      <w:pPr>
        <w:spacing w:before="0" w:after="0" w:line="360" w:lineRule="auto"/>
        <w:ind w:left="0" w:firstLine="709"/>
        <w:jc w:val="both"/>
      </w:pPr>
      <w:r>
        <w:rPr>
          <w:rFonts w:ascii="Times New Roman" w:hAnsi="Times New Roman"/>
          <w:i w:val="0"/>
          <w:sz w:val="24"/>
        </w:rPr>
        <w:t>Quanto aos valores numéricos, o humor foi mais positivo após o jogo vencido que após o treino (F(1,180) = 30,48; p &lt; 0,001; η² = 0,34) (LAGNER et al., 2015). Nas semifinais universitárias, as equipes vencedoras assinalaram a intensidade muito nos adjetivos positivos em 31% e 28% das respostas, contra 22% e 19% das adversárias, sem teste estatístico (SCHIAVINI; ARENA, 2010). O Yo-Yo IR1 produziu mais depressão (d = 0,18), mais fadiga (d = 0,30) e maior perturbação total (d = 0,22) que o jogo oficial, com perturbação de 139,13 ± 29,94 contra 127,12 ± 23,01 (BATALLA-GAVALDA et al., 2025). Nos testes de laboratório da mesma amostra, o Wingate e o cicloergômetro produziram mais fadiga que o jogo (d = 0,16; p = 0,046), e o teste em esteira, maior vigor (d = 0,23; p = 0,003) (BATALLA-GAVALDA et al., 2026). Após a partida, a fadiga (t = -4,408; p &lt; 0,001) e o vigor (t = -4,259; p &lt; 0,001) mudaram, e a tensão não se alterou (t = -0,088; p = 0,931) (OBREGÓN SIBÓN et al., 2017).</w:t>
      </w:r>
    </w:p>
    <w:p>
      <w:pPr>
        <w:spacing w:before="0" w:after="0" w:line="360" w:lineRule="auto"/>
        <w:ind w:left="0" w:firstLine="709"/>
        <w:jc w:val="both"/>
      </w:pPr>
      <w:r>
        <w:rPr>
          <w:rFonts w:ascii="Times New Roman" w:hAnsi="Times New Roman"/>
          <w:b/>
          <w:sz w:val="24"/>
        </w:rPr>
        <w:t>Carga, recuperação e marcadores biológicos.</w:t>
      </w:r>
      <w:r>
        <w:rPr>
          <w:rFonts w:ascii="Times New Roman" w:hAnsi="Times New Roman"/>
          <w:i w:val="0"/>
          <w:sz w:val="24"/>
        </w:rPr>
        <w:t xml:space="preserve"> Ao longo de uma temporada de 40 semanas, a perturbação total do humor permaneceu estável, embora a raiva e o vigor tenham variado em momentos específicos (BRESCIANI et al., 2010). Na seleção brasileira de handebol de praia, a fadiga do POMS aumentou durante a intertemporada sem alteração da perturbação total (PADILHAS et al., 2018); em uma equipe portuguesa, a tensão foi maior no início da temporada (MONTES; GOMES, 2014). A valência afetiva durante a corrida modificou-se com a manipulação da informação sobre a duração do esforço (ROCHA; LOPES; MORAES, 2010). Em 584 atletas húngaros, a perturbação total do humor diminuiu com a idade e não se associou aos hormônios salivares nos modelos ajustados (RATZ-SULYOK et al., 2026a, 2026b). Em jovens jogadores de alto nível, as medidas mensais do POMS mostraram baixa sensibilidade a mudanças do desempenho físico ao longo da temporada (BUCHHEIT, 2015). Em jogadoras adolescentes acompanhadas em 11 a 12 sessões, o prazer antes do treino associou-se à carga física medida por acelerometria, e esta, ao prazer após o treino (BUGTEN et al., 2026). Em sete jogadoras escolares avaliadas com marcadores de dano muscular e de atividade autonômica, a perturbação total do humor não diferiu do valor de referência do instrumento (PEREIRA et al., 2014).</w:t>
      </w:r>
    </w:p>
    <w:p>
      <w:pPr>
        <w:spacing w:before="0" w:after="0" w:line="360" w:lineRule="auto"/>
        <w:ind w:left="0" w:firstLine="709"/>
        <w:jc w:val="both"/>
      </w:pPr>
      <w:r>
        <w:rPr>
          <w:rFonts w:ascii="Times New Roman" w:hAnsi="Times New Roman"/>
          <w:i w:val="0"/>
          <w:sz w:val="24"/>
        </w:rPr>
        <w:t>Na temporada de 40 semanas, a raiva subiu para 14,1 ± 10,1 em T3, contra 8,7 ± 6,9 em T1 (p &lt; 0,05), e o vigor atingiu 20,6 ± 4,4 em T4 (p &lt; 0,05), com perturbação total entre 119,0 ± 27,3 e 129,0 ± 42,9 (BRESCIANI et al., 2010). Na intertemporada, a fadiga passou de 2,06 ± 2,61 para 4,82 ± 4,05 no 8º dia e para 5,5 ± 4,8 no 18º dia (PADILHAS et al., 2018). Na amostra húngara, a redução da perturbação total com a idade teve η² = 0,033 nos homens e 0,101 nas mulheres (RATZ-SULYOK et al., 2026b). A sensibilidade das medidas psicométricas mensais para detectar mudanças do desempenho foi inferior a 20% (BUCHHEIT, 2015). O prazer antes do treino associou-se à carga física (β = 0,14 a 0,17), e a carga, ao prazer depois do treino (β = 0,09; IC 95%: 0,01 a 0,17) (BUGTEN et al., 2026). Nas jogadoras escolares, a perturbação total foi de 108,6 ± 14,71 (p = 0,1740 em relação à referência de 100 pontos) (PEREIRA et al., 2014).</w:t>
      </w:r>
    </w:p>
    <w:p>
      <w:pPr>
        <w:spacing w:before="0" w:after="0" w:line="360" w:lineRule="auto"/>
        <w:ind w:left="0" w:firstLine="709"/>
        <w:jc w:val="both"/>
      </w:pPr>
      <w:r>
        <w:rPr>
          <w:rFonts w:ascii="Times New Roman" w:hAnsi="Times New Roman"/>
          <w:b/>
          <w:sz w:val="24"/>
        </w:rPr>
        <w:t>Variáveis psicológicas, lesão e contexto.</w:t>
      </w:r>
      <w:r>
        <w:rPr>
          <w:rFonts w:ascii="Times New Roman" w:hAnsi="Times New Roman"/>
          <w:i w:val="0"/>
          <w:sz w:val="24"/>
        </w:rPr>
        <w:t xml:space="preserve"> No handebol de praia, as habilidades psicológicas e a autoconfiança predisseram as dimensões negativas do humor e o vigor (REIGAL et al., 2020). Durante o confinamento, as mulheres relataram mais depressão e fadiga, e as dimensões do humor predisseram o volume de treino e a qualidade do sono (MON-LÓPEZ et al., 2020). No mesmo contexto, jogadoras jovens de handebol apresentaram perturbação total do humor maior que a de atletas do atletismo, com mais depressão, confusão e raiva (BATALLA-GAVALDA et al., 2021). Adolescentes praticantes relataram mais afeto positivo e menos afeto negativo que os inativos (LUJIC; PRSKALO; BRATKO, 2023), e, em 132 jogadores juniores, a solidão e a saúde autoavaliada predisseram o afeto positivo e o negativo (IVANOVIĆ; IVANOVIĆ, 2023). Em escolares, o humor agradável antes de um jogo de invasão baseado no handebol correlacionou-se com o desempenho e com o envolvimento no jogo (NUGRAHA; WIBOWO; FIRMANSYAH, 2020). Jogadores de elite apresentaram mais estados negativos pela manhã e mais vigor à noite (ESSID et al., 2022). Em jogadoras, o humor variou conforme a fase do ciclo menstrual, com escores menores nas fases menstrual, ovulatória e pré-menstrual (GHAZEL et al., 2022; LISENCHUK et al., 2019); em oito jogadoras amadoras, contudo, a valência afetiva não diferiu entre as fases (MORENAS-AGUILAR et al., 2023). Um estudo incluiu o humor em um modelo de predição de lesões, sem relato do seu efeito isolado (ZURITA ORTEGA et al., 2014).</w:t>
      </w:r>
    </w:p>
    <w:p>
      <w:pPr>
        <w:spacing w:before="0" w:after="0" w:line="360" w:lineRule="auto"/>
        <w:ind w:left="0" w:firstLine="709"/>
        <w:jc w:val="both"/>
      </w:pPr>
      <w:r>
        <w:rPr>
          <w:rFonts w:ascii="Times New Roman" w:hAnsi="Times New Roman"/>
          <w:i w:val="0"/>
          <w:sz w:val="24"/>
        </w:rPr>
        <w:t>No handebol de praia, o controle de enfrentamento negativo predisse a tensão (β = -0,462; R² = 0,21), e a autoconfiança, a depressão (β = -0,275) e a fadiga (β = -0,317) (REIGAL et al., 2020). No confinamento, as mulheres relataram mais depressão (8,26 ± 3,64 contra 6,75 ± 4,00; p = 0,012) e mais fadiga (p = 0,045), e os homens, mais vigor (p = 0,03). A depressão (β = 0,25), o vigor (β = 0,24) e a fadiga (β = -0,28) predisseram os dias de treino (R² = 0,11; p &lt; 0,001), e a tensão-ansiedade predisse menor qualidade do sono (β = -0,25; p = 0,01) (MON-LÓPEZ et al., 2020). Nas jogadoras jovens confinadas, a perturbação total variou de 135,54 ± 33,26 a 139,81 ± 32,33 nas três medidas e superou a do atletismo em todas elas (pBonferroni = 0,024; 0,016; 0,013) (BATALLA-GAVALDA et al., 2021). Os adolescentes praticantes apresentaram mais afeto positivo (4,71 ± 1,06 contra 4,24 ± 1,10; d = 0,42) e menos afeto negativo (2,82 ± 1,03 contra 3,37 ± 1,17; d = 0,48) que os inativos (LUJIC; PRSKALO; BRATKO, 2023). Nos juniores, a solidão predisse o afeto positivo (β = 0,29 e β = -0,32) e o negativo (β = 0,27 e β = -0,28), conforme o modelo (IVANOVIĆ; IVANOVIĆ, 2023). Nos escolares, o humor agradável correlacionou-se com o desempenho (r = 0,336; p = 0,034) e com o envolvimento no jogo (r = 0,587; p &lt; 0,001) (NUGRAHA; WIBOWO; FIRMANSYAH, 2020). O escore de humor dos jogadores universitários de handebol foi de 85,12 ± 9,31, contra 80,23 ± 7,12 no voleibol (t = 4,52; p &lt; 0,05) (DURAI; ATHISAYARAJ, 2018), e os padrões de humor não diferiram por posição (F = 0,077; p = 0,926) nem por experiência (F = 0,432; p = 0,513) (AKROUSH et al., 2025). Nas fases menstrual, ovulatória e pré-menstrual, o humor foi de 4,24 ± 0,10, 4,17 ± 0,14 e 4,11 ± 0,16, contra 5,31 nas demais fases, sem teste entre as fases (LISENCHUK et al., 2019), e a valência do SAM não diferiu entre as fases (p = 0,639) (MORENAS-AGUILAR et al., 2023). O modelo de predição de lesões classificou corretamente 88,89% dos casos (ZURITA ORTEGA et al., 2014).</w:t>
      </w:r>
    </w:p>
    <w:p>
      <w:pPr>
        <w:keepNext/>
        <w:spacing w:before="120" w:after="60" w:line="240" w:lineRule="auto"/>
        <w:ind w:left="0" w:firstLine="0"/>
        <w:jc w:val="both"/>
      </w:pPr>
      <w:r>
        <w:rPr>
          <w:rFonts w:ascii="Times New Roman" w:hAnsi="Times New Roman"/>
          <w:b/>
          <w:sz w:val="20"/>
        </w:rPr>
        <w:t>Tabela 5</w:t>
      </w:r>
      <w:r>
        <w:rPr>
          <w:rFonts w:ascii="Times New Roman" w:hAnsi="Times New Roman"/>
          <w:i w:val="0"/>
          <w:sz w:val="20"/>
        </w:rPr>
        <w:t xml:space="preserve"> – Síntese estruturada dos achados por grupo de variáveis (diretriz SWiM)</w:t>
      </w:r>
    </w:p>
    <w:tbl>
      <w:tblPr>
        <w:jc w:val="center"/>
        <w:tblLayout w:type="fixed"/>
        <w:tblLook w:firstColumn="1" w:firstRow="1" w:lastColumn="0" w:lastRow="0" w:noHBand="0" w:noVBand="1" w:val="04A0"/>
        <w:tblW w:w="9072" w:type="dxa"/>
        <w:tblLayout w:type="fixed"/>
      </w:tblPr>
      <w:tblGrid>
        <w:gridCol w:w="1814"/>
        <w:gridCol w:w="3061"/>
        <w:gridCol w:w="3061"/>
        <w:gridCol w:w="1134"/>
      </w:tblGrid>
      <w:tr>
        <w:trPr>
          <w:tblHeader w:val="true"/>
        </w:trPr>
        <w:tc>
          <w:tcPr>
            <w:tcW w:w="1814" w:type="dxa"/>
            <w:tcBorders>
              <w:top w:val="single" w:sz="8" w:color="000000"/>
              <w:left w:val="nil"/>
              <w:bottom w:val="single" w:sz="6" w:color="000000"/>
              <w:right w:val="nil"/>
            </w:tcBorders>
          </w:tcPr>
          <w:p>
            <w:pPr>
              <w:spacing w:lineRule="exact" w:line="200"/>
              <w:jc w:val="center"/>
            </w:pPr>
            <w:r>
              <w:rPr>
                <w:rFonts w:ascii="Times New Roman" w:hAnsi="Times New Roman"/>
                <w:b/>
                <w:sz w:val="17"/>
              </w:rPr>
              <w:t>Grupo de variáveis</w:t>
            </w:r>
          </w:p>
        </w:tc>
        <w:tc>
          <w:tcPr>
            <w:tcW w:w="3061" w:type="dxa"/>
            <w:tcBorders>
              <w:top w:val="single" w:sz="8" w:color="000000"/>
              <w:left w:val="nil"/>
              <w:bottom w:val="single" w:sz="6" w:color="000000"/>
              <w:right w:val="nil"/>
            </w:tcBorders>
          </w:tcPr>
          <w:p>
            <w:pPr>
              <w:spacing w:lineRule="exact" w:line="200"/>
              <w:jc w:val="center"/>
            </w:pPr>
            <w:r>
              <w:rPr>
                <w:rFonts w:ascii="Times New Roman" w:hAnsi="Times New Roman"/>
                <w:b/>
                <w:sz w:val="17"/>
              </w:rPr>
              <w:t>Estudos</w:t>
            </w:r>
          </w:p>
        </w:tc>
        <w:tc>
          <w:tcPr>
            <w:tcW w:w="3061" w:type="dxa"/>
            <w:tcBorders>
              <w:top w:val="single" w:sz="8" w:color="000000"/>
              <w:left w:val="nil"/>
              <w:bottom w:val="single" w:sz="6" w:color="000000"/>
              <w:right w:val="nil"/>
            </w:tcBorders>
          </w:tcPr>
          <w:p>
            <w:pPr>
              <w:spacing w:lineRule="exact" w:line="200"/>
              <w:jc w:val="center"/>
            </w:pPr>
            <w:r>
              <w:rPr>
                <w:rFonts w:ascii="Times New Roman" w:hAnsi="Times New Roman"/>
                <w:b/>
                <w:sz w:val="17"/>
              </w:rPr>
              <w:t>Principais achados</w:t>
            </w:r>
          </w:p>
        </w:tc>
        <w:tc>
          <w:tcPr>
            <w:tcW w:w="1134" w:type="dxa"/>
            <w:tcBorders>
              <w:top w:val="single" w:sz="8" w:color="000000"/>
              <w:left w:val="nil"/>
              <w:bottom w:val="single" w:sz="6" w:color="000000"/>
              <w:right w:val="nil"/>
            </w:tcBorders>
          </w:tcPr>
          <w:p>
            <w:pPr>
              <w:spacing w:lineRule="exact" w:line="200"/>
              <w:jc w:val="center"/>
            </w:pPr>
            <w:r>
              <w:rPr>
                <w:rFonts w:ascii="Times New Roman" w:hAnsi="Times New Roman"/>
                <w:b/>
                <w:sz w:val="17"/>
              </w:rPr>
              <w:t>Efeito / misto / outros</w:t>
            </w:r>
          </w:p>
        </w:tc>
      </w:tr>
      <w:tr>
        <w:tc>
          <w:tcPr>
            <w:tcW w:w="1814" w:type="dxa"/>
            <w:tcBorders>
              <w:top w:val="nil"/>
              <w:left w:val="nil"/>
              <w:bottom w:val="nil"/>
              <w:right w:val="nil"/>
            </w:tcBorders>
          </w:tcPr>
          <w:p>
            <w:pPr>
              <w:spacing w:lineRule="exact" w:line="200" w:before="20" w:after="20"/>
              <w:jc w:val="left"/>
            </w:pPr>
            <w:r>
              <w:rPr>
                <w:rFonts w:ascii="Times New Roman" w:hAnsi="Times New Roman"/>
                <w:i w:val="0"/>
                <w:sz w:val="17"/>
              </w:rPr>
              <w:t>Competição e resultado do jogo</w:t>
            </w:r>
          </w:p>
        </w:tc>
        <w:tc>
          <w:tcPr>
            <w:tcW w:w="3061" w:type="dxa"/>
            <w:tcBorders>
              <w:top w:val="nil"/>
              <w:left w:val="nil"/>
              <w:bottom w:val="nil"/>
              <w:right w:val="nil"/>
            </w:tcBorders>
          </w:tcPr>
          <w:p>
            <w:pPr>
              <w:spacing w:lineRule="exact" w:line="200" w:before="20" w:after="20"/>
              <w:jc w:val="left"/>
            </w:pPr>
            <w:r>
              <w:rPr>
                <w:rFonts w:ascii="Times New Roman" w:hAnsi="Times New Roman"/>
                <w:i w:val="0"/>
                <w:sz w:val="17"/>
              </w:rPr>
              <w:t>BATALLA-GAVALDA et al., 2025, 2026; FARZANEGI et al., [2008?]; LAGNER et al., 2015; OBREGÓN SIBÓN et al., 2017; REIGAL et al., 2020; SCHIAVINI; ARENA, 2010</w:t>
            </w:r>
          </w:p>
        </w:tc>
        <w:tc>
          <w:tcPr>
            <w:tcW w:w="3061" w:type="dxa"/>
            <w:tcBorders>
              <w:top w:val="nil"/>
              <w:left w:val="nil"/>
              <w:bottom w:val="nil"/>
              <w:right w:val="nil"/>
            </w:tcBorders>
          </w:tcPr>
          <w:p>
            <w:pPr>
              <w:spacing w:lineRule="exact" w:line="200" w:before="20" w:after="20"/>
              <w:jc w:val="left"/>
            </w:pPr>
            <w:r>
              <w:rPr>
                <w:rFonts w:ascii="Times New Roman" w:hAnsi="Times New Roman"/>
                <w:i w:val="0"/>
                <w:sz w:val="17"/>
              </w:rPr>
              <w:t>Vitória associada a humor mais positivo; jogo oficial com perfil menos perturbado que testes máximos; fadiga e vigor alterados após o jogo</w:t>
            </w:r>
          </w:p>
        </w:tc>
        <w:tc>
          <w:tcPr>
            <w:tcW w:w="1134" w:type="dxa"/>
            <w:tcBorders>
              <w:top w:val="nil"/>
              <w:left w:val="nil"/>
              <w:bottom w:val="nil"/>
              <w:right w:val="nil"/>
            </w:tcBorders>
          </w:tcPr>
          <w:p>
            <w:pPr>
              <w:spacing w:lineRule="exact" w:line="200" w:before="20" w:after="20"/>
              <w:jc w:val="center"/>
            </w:pPr>
            <w:r>
              <w:rPr>
                <w:rFonts w:ascii="Times New Roman" w:hAnsi="Times New Roman"/>
                <w:i w:val="0"/>
                <w:sz w:val="17"/>
              </w:rPr>
              <w:t>3 / 2 / 1</w:t>
            </w:r>
          </w:p>
        </w:tc>
      </w:tr>
      <w:tr>
        <w:tc>
          <w:tcPr>
            <w:tcW w:w="1814"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Carga, recuperação e marcadores biológicos</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ASSUNÇÃO CARVALHO et al., 2018; BRESCIANI et al., 2010; BUCHHEIT, 2015; BUGTEN et al., 2026; MONTES; GOMES, 2014; PADILHAS et al., 2018; PEREIRA et al., 2014; RATZ-SULYOK et al., 2026a, 2026b; ROCHA; LOPES; MORAES, 2010</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Variação de dimensões isoladas com a carga; prazer associado à carga física; baixa sensibilidade do POMS mensal ao desempenho</w:t>
            </w:r>
          </w:p>
        </w:tc>
        <w:tc>
          <w:tcPr>
            <w:tcW w:w="1134" w:type="dxa"/>
            <w:tcBorders>
              <w:top w:val="single" w:sz="4" w:color="000000"/>
              <w:left w:val="nil"/>
              <w:bottom w:val="nil"/>
              <w:right w:val="nil"/>
            </w:tcBorders>
          </w:tcPr>
          <w:p>
            <w:pPr>
              <w:spacing w:lineRule="exact" w:line="200" w:before="20" w:after="20"/>
              <w:jc w:val="center"/>
            </w:pPr>
            <w:r>
              <w:rPr>
                <w:rFonts w:ascii="Times New Roman" w:hAnsi="Times New Roman"/>
                <w:i w:val="0"/>
                <w:sz w:val="17"/>
              </w:rPr>
              <w:t>2 / 5 / 2</w:t>
            </w:r>
          </w:p>
        </w:tc>
      </w:tr>
      <w:tr>
        <w:tc>
          <w:tcPr>
            <w:tcW w:w="1814"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Variáveis psicológicas e contexto</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AKROUSH et al., 2025; BATALLA-GAVALDA et al., 2021; IVANOVIĆ; IVANOVIĆ, 2023; KHAZDOZI; BAHARI; ASHAYERI, 2017; LUJIC; PRSKALO; BRATKO, 2023; MIRALLES-AMORÓS et al., 2023; MON-LÓPEZ et al., 2020; NUGRAHA; WIBOWO; FIRMANSYAH, 2020; RATZ-SULYOK et al., 2026a, 2026b; REIGAL et al., 2020; ZURITA ORTEGA et al., 2014</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Habilidades psicológicas, autoconfiança e prática regular associadas a humor mais favorável; solidão e confinamento associados a afeto negativo; humor agradável associado ao desempenho em jogo escolar</w:t>
            </w:r>
          </w:p>
        </w:tc>
        <w:tc>
          <w:tcPr>
            <w:tcW w:w="1134" w:type="dxa"/>
            <w:tcBorders>
              <w:top w:val="single" w:sz="4" w:color="000000"/>
              <w:left w:val="nil"/>
              <w:bottom w:val="nil"/>
              <w:right w:val="nil"/>
            </w:tcBorders>
          </w:tcPr>
          <w:p>
            <w:pPr>
              <w:spacing w:lineRule="exact" w:line="200" w:before="20" w:after="20"/>
              <w:jc w:val="center"/>
            </w:pPr>
            <w:r>
              <w:rPr>
                <w:rFonts w:ascii="Times New Roman" w:hAnsi="Times New Roman"/>
                <w:i w:val="0"/>
                <w:sz w:val="17"/>
              </w:rPr>
              <w:t>6 / 3 / 2</w:t>
            </w:r>
          </w:p>
        </w:tc>
      </w:tr>
      <w:tr>
        <w:tc>
          <w:tcPr>
            <w:tcW w:w="1814"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Intervenções verbais e psicológicas</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AL-WATTAR; AL-BADRANE, 2014; AYDI et al., 2025; DIACHENKO; TYSHCHENKO, 2025; GARCÍA-HERRERO et al., 2022; KHAZDOZI; BAHARI; ASHAYERI, 2017; ROCHA; LOPES; MORAES, 2010; SAHLI et al., 2022, 2024; SOTO; GARCÍA-HERRERO; CARCEDO, 2020</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Encorajamento verbal, individual ou combinado com instrução, melhorou o humor; feedback negativo reduziu o afeto positivo</w:t>
            </w:r>
          </w:p>
        </w:tc>
        <w:tc>
          <w:tcPr>
            <w:tcW w:w="1134" w:type="dxa"/>
            <w:tcBorders>
              <w:top w:val="single" w:sz="4" w:color="000000"/>
              <w:left w:val="nil"/>
              <w:bottom w:val="nil"/>
              <w:right w:val="nil"/>
            </w:tcBorders>
          </w:tcPr>
          <w:p>
            <w:pPr>
              <w:spacing w:lineRule="exact" w:line="200" w:before="20" w:after="20"/>
              <w:jc w:val="center"/>
            </w:pPr>
            <w:r>
              <w:rPr>
                <w:rFonts w:ascii="Times New Roman" w:hAnsi="Times New Roman"/>
                <w:i w:val="0"/>
                <w:sz w:val="17"/>
              </w:rPr>
              <w:t>7 / 1 / 1</w:t>
            </w:r>
          </w:p>
        </w:tc>
      </w:tr>
      <w:tr>
        <w:tc>
          <w:tcPr>
            <w:tcW w:w="1814"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Nutrição e suplementação</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ASSUNÇÃO CARVALHO et al., 2018; MIRALLES-AMORÓS et al., 2023</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Efeitos pequenos e inconsistentes entre grupos</w:t>
            </w:r>
          </w:p>
        </w:tc>
        <w:tc>
          <w:tcPr>
            <w:tcW w:w="1134" w:type="dxa"/>
            <w:tcBorders>
              <w:top w:val="single" w:sz="4" w:color="000000"/>
              <w:left w:val="nil"/>
              <w:bottom w:val="nil"/>
              <w:right w:val="nil"/>
            </w:tcBorders>
          </w:tcPr>
          <w:p>
            <w:pPr>
              <w:spacing w:lineRule="exact" w:line="200" w:before="20" w:after="20"/>
              <w:jc w:val="center"/>
            </w:pPr>
            <w:r>
              <w:rPr>
                <w:rFonts w:ascii="Times New Roman" w:hAnsi="Times New Roman"/>
                <w:i w:val="0"/>
                <w:sz w:val="17"/>
              </w:rPr>
              <w:t>0 / 2 / 0</w:t>
            </w:r>
          </w:p>
        </w:tc>
      </w:tr>
      <w:tr>
        <w:tc>
          <w:tcPr>
            <w:tcW w:w="1814" w:type="dxa"/>
            <w:tcBorders>
              <w:top w:val="single" w:sz="4" w:color="000000"/>
              <w:left w:val="nil"/>
              <w:bottom w:val="single" w:sz="8" w:color="000000"/>
              <w:right w:val="nil"/>
            </w:tcBorders>
          </w:tcPr>
          <w:p>
            <w:pPr>
              <w:spacing w:lineRule="exact" w:line="200" w:before="20" w:after="20"/>
              <w:jc w:val="left"/>
            </w:pPr>
            <w:r>
              <w:rPr>
                <w:rFonts w:ascii="Times New Roman" w:hAnsi="Times New Roman"/>
                <w:i w:val="0"/>
                <w:sz w:val="17"/>
              </w:rPr>
              <w:t>Ciclo menstrual e horário do dia</w:t>
            </w:r>
          </w:p>
        </w:tc>
        <w:tc>
          <w:tcPr>
            <w:tcW w:w="3061" w:type="dxa"/>
            <w:tcBorders>
              <w:top w:val="single" w:sz="4" w:color="000000"/>
              <w:left w:val="nil"/>
              <w:bottom w:val="single" w:sz="8" w:color="000000"/>
              <w:right w:val="nil"/>
            </w:tcBorders>
          </w:tcPr>
          <w:p>
            <w:pPr>
              <w:spacing w:lineRule="exact" w:line="200" w:before="20" w:after="20"/>
              <w:jc w:val="left"/>
            </w:pPr>
            <w:r>
              <w:rPr>
                <w:rFonts w:ascii="Times New Roman" w:hAnsi="Times New Roman"/>
                <w:i w:val="0"/>
                <w:sz w:val="17"/>
              </w:rPr>
              <w:t>ESSID et al., 2022; GHAZEL et al., 2022; LISENCHUK et al., 2019; MORENAS-AGUILAR et al., 2023</w:t>
            </w:r>
          </w:p>
        </w:tc>
        <w:tc>
          <w:tcPr>
            <w:tcW w:w="3061" w:type="dxa"/>
            <w:tcBorders>
              <w:top w:val="single" w:sz="4" w:color="000000"/>
              <w:left w:val="nil"/>
              <w:bottom w:val="single" w:sz="8" w:color="000000"/>
              <w:right w:val="nil"/>
            </w:tcBorders>
          </w:tcPr>
          <w:p>
            <w:pPr>
              <w:spacing w:lineRule="exact" w:line="200" w:before="20" w:after="20"/>
              <w:jc w:val="left"/>
            </w:pPr>
            <w:r>
              <w:rPr>
                <w:rFonts w:ascii="Times New Roman" w:hAnsi="Times New Roman"/>
                <w:i w:val="0"/>
                <w:sz w:val="17"/>
              </w:rPr>
              <w:t>Humor mais negativo nas fases menstrual e pré-menstrual e pela manhã; valência afetiva sem diferença entre as fases em um estudo</w:t>
            </w:r>
          </w:p>
        </w:tc>
        <w:tc>
          <w:tcPr>
            <w:tcW w:w="1134" w:type="dxa"/>
            <w:tcBorders>
              <w:top w:val="single" w:sz="4" w:color="000000"/>
              <w:left w:val="nil"/>
              <w:bottom w:val="single" w:sz="8" w:color="000000"/>
              <w:right w:val="nil"/>
            </w:tcBorders>
          </w:tcPr>
          <w:p>
            <w:pPr>
              <w:spacing w:lineRule="exact" w:line="200" w:before="20" w:after="20"/>
              <w:jc w:val="center"/>
            </w:pPr>
            <w:r>
              <w:rPr>
                <w:rFonts w:ascii="Times New Roman" w:hAnsi="Times New Roman"/>
                <w:i w:val="0"/>
                <w:sz w:val="17"/>
              </w:rPr>
              <w:t>3 / 0 / 1</w:t>
            </w:r>
          </w:p>
        </w:tc>
      </w:tr>
    </w:tbl>
    <w:p>
      <w:pPr>
        <w:spacing w:before="40" w:after="0" w:line="240" w:lineRule="auto"/>
        <w:ind w:left="0" w:firstLine="0"/>
        <w:jc w:val="both"/>
      </w:pPr>
      <w:r>
        <w:rPr>
          <w:rFonts w:ascii="Times New Roman" w:hAnsi="Times New Roman"/>
          <w:i w:val="0"/>
          <w:sz w:val="20"/>
        </w:rPr>
        <w:t>Nota: outros: sem efeito, descritivo ou não determinável; um estudo pode compor mais de um grupo.</w:t>
      </w:r>
    </w:p>
    <w:p>
      <w:pPr>
        <w:spacing w:before="0" w:after="160" w:line="240" w:lineRule="auto"/>
        <w:ind w:left="0" w:firstLine="0"/>
        <w:jc w:val="left"/>
      </w:pPr>
      <w:r>
        <w:rPr>
          <w:rFonts w:ascii="Times New Roman" w:hAnsi="Times New Roman"/>
          <w:i w:val="0"/>
          <w:sz w:val="20"/>
        </w:rPr>
        <w:t>Fonte: elaborada pelos autores (2026).</w:t>
      </w:r>
    </w:p>
    <w:p>
      <w:pPr>
        <w:keepNext/>
        <w:spacing w:before="240" w:after="120" w:line="360" w:lineRule="auto"/>
        <w:ind w:left="0" w:firstLine="0"/>
        <w:jc w:val="left"/>
      </w:pPr>
      <w:r>
        <w:rPr>
          <w:rFonts w:ascii="Times New Roman" w:hAnsi="Times New Roman"/>
          <w:b/>
          <w:sz w:val="24"/>
        </w:rPr>
        <w:t>3.5 Intervenções sobre o humor (QP4)</w:t>
      </w:r>
    </w:p>
    <w:p>
      <w:pPr>
        <w:spacing w:before="0" w:after="0" w:line="360" w:lineRule="auto"/>
        <w:ind w:left="0" w:firstLine="709"/>
        <w:jc w:val="both"/>
      </w:pPr>
      <w:r>
        <w:rPr>
          <w:rFonts w:ascii="Times New Roman" w:hAnsi="Times New Roman"/>
          <w:i w:val="0"/>
          <w:sz w:val="24"/>
        </w:rPr>
        <w:t>Além do estudo sobre a informação acerca da duração do esforço (ROCHA; LOPES; MORAES, 2010), onze manipularam uma condição e mediram o humor como desfecho. Em escolares com sobrepeso, o encorajamento verbal individual do professor reduziu a depressão e a fadiga e elevou o vigor, com tamanhos de efeito grandes, em comparação com o encorajamento coletivo (SAHLI et al., 2024). Combinado com instrução técnica, o encorajamento verbal manteve a valência afetiva positiva durante jogos reduzidos (SAHLI et al., 2022). Em escolares obesos, o encorajamento verbal durante jogos de passes com regras do handebol aumentou o vigor e reduziu a variação da perturbação total do humor em comparação com o jogo sem encorajamento (AYDI et al., 2025). O feedback negativo reduziu o afeto positivo de jogadoras das seleções chilenas (SOTO; GARCÍA-HERRERO; CARCEDO, 2020), ao passo que o feedback comparativo não alterou o afeto de jogadoras da primeira divisão espanhola (GARCÍA-HERRERO et al., 2022). Um programa de autorregulação do humor (AL-WATTAR; AL-BADRANE, 2014) e o aquecimento com música (KHAZDOZI; BAHARI; ASHAYERI, 2017) relataram melhora do humor, mas descreveram o protocolo de modo insuficiente, tal como um programa de regulação psicoemocional com 28 jogadoras, cuja melhora de até 38% no bem-estar, na atividade e no humor consta apenas do resumo (DIACHENKO; TYSHCHENKO, 2025). A suplementação com néctar de jamelão melhorou a perturbação total do humor apenas na comparação intragrupo (ASSUNÇÃO CARVALHO et al., 2018), e planos alimentares personalizados não diferiram entre si em nenhuma dimensão do POMS (MIRALLES-AMORÓS et al., 2023). No estudo que aplicou música em diferentes fases do ciclo menstrual, o humor variou com a fase, e não com a música (GHAZEL et al., 2022).</w:t>
      </w:r>
    </w:p>
    <w:p>
      <w:pPr>
        <w:spacing w:before="0" w:after="0" w:line="360" w:lineRule="auto"/>
        <w:ind w:left="0" w:firstLine="709"/>
        <w:jc w:val="both"/>
      </w:pPr>
      <w:r>
        <w:rPr>
          <w:rFonts w:ascii="Times New Roman" w:hAnsi="Times New Roman"/>
          <w:i w:val="0"/>
          <w:sz w:val="24"/>
        </w:rPr>
        <w:t>Quanto ao protocolo, o ensaio com encorajamento individual ou coletivo envolveu 28 escolares em duas sessões de jogos 7x7, com a BRUMS antes e depois de cada sessão. Nos meninos, a interação foi significativa para a depressão (F = 11,99; p = 0,002; η² = 0,31) e para a fadiga (F = 10,69; p = 0,003), e o vigor passou de 8,35 para 10,64 (p = 0,010) (SAHLI et al., 2024). No estudo cruzado com 20 alunos, três sessões de jogo reduzido de passes, com duas séries de 10 min, compararam em ordem aleatória o encorajamento combinado com instrução técnica, a instrução isolada e o controle sem instrução, com efeito de condição sobre a percepção de esforço e a Feeling Scale (F ≥ 9,2; p &lt; 0,001; ηp² = 0,32) (SAHLI et al., 2022). No outro estudo cruzado, 16 escolares jogaram passes em 3 x 3, em 4 x 3 min, com e sem encorajamento, em ordem contrabalançada e com uma semana de intervalo. O encorajamento produziu maior variação do vigor (p = 0,01; ES = -1,51) e menor variação da perturbação total (p = 0,02; ES = 0,78) (AYDI et al., 2025).</w:t>
      </w:r>
    </w:p>
    <w:p>
      <w:pPr>
        <w:spacing w:before="0" w:after="0" w:line="360" w:lineRule="auto"/>
        <w:ind w:left="0" w:firstLine="709"/>
        <w:jc w:val="both"/>
      </w:pPr>
      <w:r>
        <w:rPr>
          <w:rFonts w:ascii="Times New Roman" w:hAnsi="Times New Roman"/>
          <w:i w:val="0"/>
          <w:sz w:val="24"/>
        </w:rPr>
        <w:t>Nos ensaios de feedback, três grupos de 13 jogadoras receberam feedback positivo, negativo ou nenhum durante 30 arremessos, e o afeto positivo caiu de 4,20 para 3,70 com o feedback negativo (delta de Cliff = 0,36; p &lt; 0,01) (SOTO; GARCÍA-HERRERO; CARCEDO, 2020). No outro ensaio, 73 jogadoras receberam feedback comparativo durante 21 arremessos, sem efeito sobre o afeto (GARCÍA-HERRERO et al., 2022). O aquecimento com música comparou dois grupos de 12 jogadoras, sem descrição da duração nem do tipo de música (U = 22; Z = -2,899; p = 0,003) (KHAZDOZI; BAHARI; ASHAYERI, 2017), e o programa de regulação psicoemocional comparou 14 jogadoras no grupo experimental e 14 no controle (DIACHENKO; TYSHCHENKO, 2025). Na suplementação, o ensaio duplo-cego ofereceu néctar de jamelão, 10 mL/kg/dia por 28 dias, contra placebo com maltodextrina, e a perturbação total caiu de 100,7 ± 17,0 para 89,7 ± 11,6 no grupo suplementado (p = 0,004) (ASSUNÇÃO CARVALHO et al., 2018). Os planos alimentares duraram 12 semanas, com sete atletas por grupo e dieta livre com recomendações como controle (MIRALLES-AMORÓS et al., 2023). A música de 140 bpm foi comparada à ausência de música em cada fase do ciclo menstrual (GHAZEL et al., 2022), e a informação sobre a duração do esforço foi manipulada em quatro sessões de corrida de 20 min a 70% da velocidade de pico (ROCHA; LOPES; MORAES, 2010).</w:t>
      </w:r>
    </w:p>
    <w:p>
      <w:pPr>
        <w:keepNext/>
        <w:spacing w:before="240" w:after="120" w:line="360" w:lineRule="auto"/>
        <w:ind w:left="0" w:firstLine="0"/>
        <w:jc w:val="left"/>
      </w:pPr>
      <w:r>
        <w:rPr>
          <w:rFonts w:ascii="Times New Roman" w:hAnsi="Times New Roman"/>
          <w:b/>
          <w:sz w:val="24"/>
        </w:rPr>
        <w:t>3.6 Qualidade metodológica (QP5)</w:t>
      </w:r>
    </w:p>
    <w:p>
      <w:pPr>
        <w:spacing w:before="0" w:after="0" w:line="360" w:lineRule="auto"/>
        <w:ind w:left="0" w:firstLine="709"/>
        <w:jc w:val="both"/>
      </w:pPr>
      <w:r>
        <w:rPr>
          <w:rFonts w:ascii="Times New Roman" w:hAnsi="Times New Roman"/>
          <w:i w:val="0"/>
          <w:sz w:val="24"/>
        </w:rPr>
        <w:t>A qualidade metodológica foi alta em 18 estudos, moderada em 14 e baixa em 4 (Figura 4). Todos os estudos definiram o objetivo e a população, mas a amostra foi descrita integralmente em 23, o instrumento foi nomeado e validado em 31, o momento da medida foi declarado em 27, houve comparador, controle ou ajuste de confusão em 21, e a análise estatística foi adequada, com medidas de variabilidade, em 19. As maiores pontuações concentraram-se nos ensaios randomizados e nos estudos cruzados recentes; as menores, nos estudos extraídos apenas do resumo ou publicados em periódicos de circulação regional.</w:t>
      </w:r>
    </w:p>
    <w:p>
      <w:pPr>
        <w:keepNext/>
        <w:spacing w:before="120" w:after="60" w:line="240" w:lineRule="auto"/>
        <w:ind w:left="0" w:firstLine="0"/>
        <w:jc w:val="both"/>
      </w:pPr>
      <w:r>
        <w:rPr>
          <w:rFonts w:ascii="Times New Roman" w:hAnsi="Times New Roman"/>
          <w:b/>
          <w:sz w:val="20"/>
        </w:rPr>
        <w:t>Figura 4</w:t>
      </w:r>
      <w:r>
        <w:rPr>
          <w:rFonts w:ascii="Times New Roman" w:hAnsi="Times New Roman"/>
          <w:i w:val="0"/>
          <w:sz w:val="20"/>
        </w:rPr>
        <w:t xml:space="preserve"> – Avaliação da qualidade metodológica dos estudos incluídos (QP5)</w:t>
      </w:r>
    </w:p>
    <w:p>
      <w:pPr>
        <w:keepNext/>
        <w:spacing w:before="0" w:after="0" w:line="240" w:lineRule="auto"/>
        <w:ind w:left="0" w:firstLine="0"/>
        <w:jc w:val="center"/>
      </w:pPr>
      <w:r>
        <w:drawing>
          <wp:inline xmlns:a="http://schemas.openxmlformats.org/drawingml/2006/main" xmlns:pic="http://schemas.openxmlformats.org/drawingml/2006/picture">
            <wp:extent cx="4860000" cy="7104613"/>
            <wp:docPr id="4" name="Picture 4"/>
            <wp:cNvGraphicFramePr>
              <a:graphicFrameLocks noChangeAspect="1"/>
            </wp:cNvGraphicFramePr>
            <a:graphic>
              <a:graphicData uri="http://schemas.openxmlformats.org/drawingml/2006/picture">
                <pic:pic>
                  <pic:nvPicPr>
                    <pic:cNvPr id="0" name="Figura4_Qualidade_RS.png"/>
                    <pic:cNvPicPr/>
                  </pic:nvPicPr>
                  <pic:blipFill>
                    <a:blip r:embed="rId13"/>
                    <a:stretch>
                      <a:fillRect/>
                    </a:stretch>
                  </pic:blipFill>
                  <pic:spPr>
                    <a:xfrm>
                      <a:off x="0" y="0"/>
                      <a:ext cx="4860000" cy="7104613"/>
                    </a:xfrm>
                    <a:prstGeom prst="rect"/>
                  </pic:spPr>
                </pic:pic>
              </a:graphicData>
            </a:graphic>
          </wp:inline>
        </w:drawing>
      </w:r>
    </w:p>
    <w:p>
      <w:pPr>
        <w:spacing w:before="40" w:after="0" w:line="240" w:lineRule="auto"/>
        <w:ind w:left="0" w:firstLine="0"/>
        <w:jc w:val="both"/>
      </w:pPr>
      <w:r>
        <w:rPr>
          <w:rFonts w:ascii="Times New Roman" w:hAnsi="Times New Roman"/>
          <w:i w:val="0"/>
          <w:sz w:val="20"/>
        </w:rPr>
        <w:t>Nota: Q1 a Q6: itens adaptados para estudos observacionais e transversais; sim (+), incerto (?) e não (−); pontuação de 5 a 6, qualidade alta; de 3 a 4, moderada; de 0 a 2, baixa.</w:t>
      </w:r>
    </w:p>
    <w:p>
      <w:pPr>
        <w:spacing w:before="0" w:after="160" w:line="240" w:lineRule="auto"/>
        <w:ind w:left="0" w:firstLine="0"/>
        <w:jc w:val="left"/>
      </w:pPr>
      <w:r>
        <w:rPr>
          <w:rFonts w:ascii="Times New Roman" w:hAnsi="Times New Roman"/>
          <w:i w:val="0"/>
          <w:sz w:val="20"/>
        </w:rPr>
        <w:t>Fonte: elaborada pelos autores (2026).</w:t>
      </w:r>
    </w:p>
    <w:p>
      <w:pPr>
        <w:keepNext/>
        <w:spacing w:before="240" w:after="120" w:line="360" w:lineRule="auto"/>
        <w:ind w:left="0" w:firstLine="0"/>
        <w:jc w:val="left"/>
      </w:pPr>
      <w:r>
        <w:rPr>
          <w:rFonts w:ascii="Times New Roman" w:hAnsi="Times New Roman"/>
          <w:b/>
          <w:sz w:val="24"/>
        </w:rPr>
        <w:t>3.7 Síntese dos achados por dimensão do humor</w:t>
      </w:r>
    </w:p>
    <w:p>
      <w:pPr>
        <w:spacing w:before="0" w:after="0" w:line="360" w:lineRule="auto"/>
        <w:ind w:left="0" w:firstLine="709"/>
        <w:jc w:val="both"/>
      </w:pPr>
      <w:r>
        <w:rPr>
          <w:rFonts w:ascii="Times New Roman" w:hAnsi="Times New Roman"/>
          <w:i w:val="0"/>
          <w:sz w:val="24"/>
        </w:rPr>
        <w:t>A Tabela 6 organiza os achados por dimensão do humor. O vigor e a fadiga reuniram o maior número de estudos com mudança ou associação, em situações de jogo, de testes físicos, de intervenção, de confinamento e de horário do dia. A depressão, a raiva e a confusão variaram com a modalidade no confinamento, com a fase do ciclo menstrual, com o horário e com o encorajamento verbal (BATALLA-GAVALDA et al., 2021; ESSID et al., 2022; GHAZEL et al., 2022; SAHLI et al., 2024), e a tensão não se alterou após a partida nem entre o jogo e os testes de campo (BATALLA-GAVALDA et al., 2025; OBREGÓN SIBÓN et al., 2017). A perturbação total variou com a idade, o tipo de teste, a suplementação e a modalidade, mas permaneceu estável ao longo da temporada e da intertemporada (BRESCIANI et al., 2010; PADILHAS et al., 2018). Nas escalas de afeto, o afeto positivo e o negativo diferiram entre praticantes e inativos e associaram-se à solidão (IVANOVIĆ; IVANOVIĆ, 2023; LUJIC; PRSKALO; BRATKO, 2023), mas apenas o afeto positivo respondeu ao feedback negativo (SOTO; GARCÍA-HERRERO; CARCEDO, 2020). A valência afetiva mudou em quatro estudos e não diferiu entre as fases do ciclo menstrual em um (MORENAS-AGUILAR et al., 2023).</w:t>
      </w:r>
    </w:p>
    <w:p>
      <w:pPr>
        <w:keepNext/>
        <w:spacing w:before="120" w:after="60" w:line="240" w:lineRule="auto"/>
        <w:ind w:left="0" w:firstLine="0"/>
        <w:jc w:val="both"/>
      </w:pPr>
      <w:r>
        <w:rPr>
          <w:rFonts w:ascii="Times New Roman" w:hAnsi="Times New Roman"/>
          <w:b/>
          <w:sz w:val="20"/>
        </w:rPr>
        <w:t>Tabela 6</w:t>
      </w:r>
      <w:r>
        <w:rPr>
          <w:rFonts w:ascii="Times New Roman" w:hAnsi="Times New Roman"/>
          <w:i w:val="0"/>
          <w:sz w:val="20"/>
        </w:rPr>
        <w:t xml:space="preserve"> – Direção dos achados por dimensão do humor</w:t>
      </w:r>
    </w:p>
    <w:tbl>
      <w:tblPr>
        <w:jc w:val="center"/>
        <w:tblLayout w:type="fixed"/>
        <w:tblLook w:firstColumn="1" w:firstRow="1" w:lastColumn="0" w:lastRow="0" w:noHBand="0" w:noVBand="1" w:val="04A0"/>
        <w:tblW w:w="9072" w:type="dxa"/>
        <w:tblLayout w:type="fixed"/>
      </w:tblPr>
      <w:tblGrid>
        <w:gridCol w:w="1360"/>
        <w:gridCol w:w="2608"/>
        <w:gridCol w:w="2041"/>
        <w:gridCol w:w="3061"/>
      </w:tblGrid>
      <w:tr>
        <w:trPr>
          <w:tblHeader w:val="true"/>
        </w:trPr>
        <w:tc>
          <w:tcPr>
            <w:tcW w:w="1360" w:type="dxa"/>
            <w:tcBorders>
              <w:top w:val="single" w:sz="8" w:color="000000"/>
              <w:left w:val="nil"/>
              <w:bottom w:val="single" w:sz="6" w:color="000000"/>
              <w:right w:val="nil"/>
            </w:tcBorders>
          </w:tcPr>
          <w:p>
            <w:pPr>
              <w:spacing w:lineRule="exact" w:line="200"/>
              <w:jc w:val="center"/>
            </w:pPr>
            <w:r>
              <w:rPr>
                <w:rFonts w:ascii="Times New Roman" w:hAnsi="Times New Roman"/>
                <w:b/>
                <w:sz w:val="17"/>
              </w:rPr>
              <w:t>Dimensão</w:t>
            </w:r>
          </w:p>
        </w:tc>
        <w:tc>
          <w:tcPr>
            <w:tcW w:w="2608" w:type="dxa"/>
            <w:tcBorders>
              <w:top w:val="single" w:sz="8" w:color="000000"/>
              <w:left w:val="nil"/>
              <w:bottom w:val="single" w:sz="6" w:color="000000"/>
              <w:right w:val="nil"/>
            </w:tcBorders>
          </w:tcPr>
          <w:p>
            <w:pPr>
              <w:spacing w:lineRule="exact" w:line="200"/>
              <w:jc w:val="center"/>
            </w:pPr>
            <w:r>
              <w:rPr>
                <w:rFonts w:ascii="Times New Roman" w:hAnsi="Times New Roman"/>
                <w:b/>
                <w:sz w:val="17"/>
              </w:rPr>
              <w:t>Estudos que relataram mudança ou associação</w:t>
            </w:r>
          </w:p>
        </w:tc>
        <w:tc>
          <w:tcPr>
            <w:tcW w:w="2041" w:type="dxa"/>
            <w:tcBorders>
              <w:top w:val="single" w:sz="8" w:color="000000"/>
              <w:left w:val="nil"/>
              <w:bottom w:val="single" w:sz="6" w:color="000000"/>
              <w:right w:val="nil"/>
            </w:tcBorders>
          </w:tcPr>
          <w:p>
            <w:pPr>
              <w:spacing w:lineRule="exact" w:line="200"/>
              <w:jc w:val="center"/>
            </w:pPr>
            <w:r>
              <w:rPr>
                <w:rFonts w:ascii="Times New Roman" w:hAnsi="Times New Roman"/>
                <w:b/>
                <w:sz w:val="17"/>
              </w:rPr>
              <w:t>Estudos sem mudança ou associação</w:t>
            </w:r>
          </w:p>
        </w:tc>
        <w:tc>
          <w:tcPr>
            <w:tcW w:w="3061" w:type="dxa"/>
            <w:tcBorders>
              <w:top w:val="single" w:sz="8" w:color="000000"/>
              <w:left w:val="nil"/>
              <w:bottom w:val="single" w:sz="6" w:color="000000"/>
              <w:right w:val="nil"/>
            </w:tcBorders>
          </w:tcPr>
          <w:p>
            <w:pPr>
              <w:spacing w:lineRule="exact" w:line="200"/>
              <w:jc w:val="center"/>
            </w:pPr>
            <w:r>
              <w:rPr>
                <w:rFonts w:ascii="Times New Roman" w:hAnsi="Times New Roman"/>
                <w:b/>
                <w:sz w:val="17"/>
              </w:rPr>
              <w:t>Observações</w:t>
            </w:r>
          </w:p>
        </w:tc>
      </w:tr>
      <w:tr>
        <w:tc>
          <w:tcPr>
            <w:tcW w:w="1360" w:type="dxa"/>
            <w:tcBorders>
              <w:top w:val="nil"/>
              <w:left w:val="nil"/>
              <w:bottom w:val="nil"/>
              <w:right w:val="nil"/>
            </w:tcBorders>
          </w:tcPr>
          <w:p>
            <w:pPr>
              <w:spacing w:lineRule="exact" w:line="200" w:before="20" w:after="20"/>
              <w:jc w:val="left"/>
            </w:pPr>
            <w:r>
              <w:rPr>
                <w:rFonts w:ascii="Times New Roman" w:hAnsi="Times New Roman"/>
                <w:i w:val="0"/>
                <w:sz w:val="17"/>
              </w:rPr>
              <w:t>Tensão</w:t>
            </w:r>
          </w:p>
        </w:tc>
        <w:tc>
          <w:tcPr>
            <w:tcW w:w="2608" w:type="dxa"/>
            <w:tcBorders>
              <w:top w:val="nil"/>
              <w:left w:val="nil"/>
              <w:bottom w:val="nil"/>
              <w:right w:val="nil"/>
            </w:tcBorders>
          </w:tcPr>
          <w:p>
            <w:pPr>
              <w:spacing w:lineRule="exact" w:line="200" w:before="20" w:after="20"/>
              <w:jc w:val="left"/>
            </w:pPr>
            <w:r>
              <w:rPr>
                <w:rFonts w:ascii="Times New Roman" w:hAnsi="Times New Roman"/>
                <w:i w:val="0"/>
                <w:sz w:val="17"/>
              </w:rPr>
              <w:t>BATALLA-GAVALDA et al., 2021; ESSID et al., 2022; GHAZEL et al., 2022; MON-LÓPEZ et al., 2020; MONTES; GOMES, 2014; REIGAL et al., 2020</w:t>
            </w:r>
          </w:p>
        </w:tc>
        <w:tc>
          <w:tcPr>
            <w:tcW w:w="2041" w:type="dxa"/>
            <w:tcBorders>
              <w:top w:val="nil"/>
              <w:left w:val="nil"/>
              <w:bottom w:val="nil"/>
              <w:right w:val="nil"/>
            </w:tcBorders>
          </w:tcPr>
          <w:p>
            <w:pPr>
              <w:spacing w:lineRule="exact" w:line="200" w:before="20" w:after="20"/>
              <w:jc w:val="left"/>
            </w:pPr>
            <w:r>
              <w:rPr>
                <w:rFonts w:ascii="Times New Roman" w:hAnsi="Times New Roman"/>
                <w:i w:val="0"/>
                <w:sz w:val="17"/>
              </w:rPr>
              <w:t>AYDI et al., 2025; BATALLA-GAVALDA et al., 2025, 2026; BRESCIANI et al., 2010; MIRALLES-AMORÓS et al., 2023; OBREGÓN SIBÓN et al., 2017</w:t>
            </w:r>
          </w:p>
        </w:tc>
        <w:tc>
          <w:tcPr>
            <w:tcW w:w="3061" w:type="dxa"/>
            <w:tcBorders>
              <w:top w:val="nil"/>
              <w:left w:val="nil"/>
              <w:bottom w:val="nil"/>
              <w:right w:val="nil"/>
            </w:tcBorders>
          </w:tcPr>
          <w:p>
            <w:pPr>
              <w:spacing w:lineRule="exact" w:line="200" w:before="20" w:after="20"/>
              <w:jc w:val="left"/>
            </w:pPr>
            <w:r>
              <w:rPr>
                <w:rFonts w:ascii="Times New Roman" w:hAnsi="Times New Roman"/>
                <w:i w:val="0"/>
                <w:sz w:val="17"/>
              </w:rPr>
              <w:t>Maior no início da temporada, na fase menstrual, pela manhã e no handebol que na natação; predita pelo controle de enfrentamento negativo</w:t>
            </w:r>
          </w:p>
        </w:tc>
      </w:tr>
      <w:tr>
        <w:tc>
          <w:tcPr>
            <w:tcW w:w="1360"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Depressão</w:t>
            </w:r>
          </w:p>
        </w:tc>
        <w:tc>
          <w:tcPr>
            <w:tcW w:w="2608"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BATALLA-GAVALDA et al., 2021, 2025; ESSID et al., 2022; MIRALLES-AMORÓS et al., 2023; MON-LÓPEZ et al., 2020; REIGAL et al., 2020; SAHLI et al., 2024</w:t>
            </w:r>
          </w:p>
        </w:tc>
        <w:tc>
          <w:tcPr>
            <w:tcW w:w="204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AYDI et al., 2025; BATALLA-GAVALDA et al., 2026; BRESCIANI et al., 2010</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Maior nas mulheres, no handebol que no atletismo, pela manhã e após o Yo-Yo IR1; queda maior com o encorajamento individual</w:t>
            </w:r>
          </w:p>
        </w:tc>
      </w:tr>
      <w:tr>
        <w:tc>
          <w:tcPr>
            <w:tcW w:w="1360"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Raiva</w:t>
            </w:r>
          </w:p>
        </w:tc>
        <w:tc>
          <w:tcPr>
            <w:tcW w:w="2608"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BATALLA-GAVALDA et al., 2021; BRESCIANI et al., 2010; ESSID et al., 2022; GHAZEL et al., 2022; SAHLI et al., 2024</w:t>
            </w:r>
          </w:p>
        </w:tc>
        <w:tc>
          <w:tcPr>
            <w:tcW w:w="204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AYDI et al., 2025; BATALLA-GAVALDA et al., 2025, 2026; MIRALLES-AMORÓS et al., 2023</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Aumento em um momento da temporada; maior na fase menstrual, pela manhã e no handebol que no atletismo</w:t>
            </w:r>
          </w:p>
        </w:tc>
      </w:tr>
      <w:tr>
        <w:tc>
          <w:tcPr>
            <w:tcW w:w="1360"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Vigor</w:t>
            </w:r>
          </w:p>
        </w:tc>
        <w:tc>
          <w:tcPr>
            <w:tcW w:w="2608"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AL-WATTAR; AL-BADRANE, 2014; AYDI et al., 2025; BATALLA-GAVALDA et al., 2025, 2026; BRESCIANI et al., 2010; ESSID et al., 2022; MON-LÓPEZ et al., 2020; OBREGÓN SIBÓN et al., 2017; REIGAL et al., 2020; SAHLI et al., 2024</w:t>
            </w:r>
          </w:p>
        </w:tc>
        <w:tc>
          <w:tcPr>
            <w:tcW w:w="204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BATALLA-GAVALDA et al., 2021; MIRALLES-AMORÓS et al., 2023</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Aumento com programas e encorajamento verbal; maior à noite e nos homens; alterado após a partida</w:t>
            </w:r>
          </w:p>
        </w:tc>
      </w:tr>
      <w:tr>
        <w:tc>
          <w:tcPr>
            <w:tcW w:w="1360"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Fadiga</w:t>
            </w:r>
          </w:p>
        </w:tc>
        <w:tc>
          <w:tcPr>
            <w:tcW w:w="2608"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BATALLA-GAVALDA et al., 2025, 2026; ESSID et al., 2022; MON-LÓPEZ et al., 2020; OBREGÓN SIBÓN et al., 2017; PADILHAS et al., 2018; REIGAL et al., 2020; SAHLI et al., 2024</w:t>
            </w:r>
          </w:p>
        </w:tc>
        <w:tc>
          <w:tcPr>
            <w:tcW w:w="204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AYDI et al., 2025; BATALLA-GAVALDA et al., 2021; MIRALLES-AMORÓS et al., 2023</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Aumento na intertemporada, após a partida e após testes máximos; maior nas mulheres e pela manhã</w:t>
            </w:r>
          </w:p>
        </w:tc>
      </w:tr>
      <w:tr>
        <w:tc>
          <w:tcPr>
            <w:tcW w:w="1360"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Confusão</w:t>
            </w:r>
          </w:p>
        </w:tc>
        <w:tc>
          <w:tcPr>
            <w:tcW w:w="2608"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ASSUNÇÃO CARVALHO et al., 2018; BATALLA-GAVALDA et al., 2021; ESSID et al., 2022; GHAZEL et al., 2022; SAHLI et al., 2024</w:t>
            </w:r>
          </w:p>
        </w:tc>
        <w:tc>
          <w:tcPr>
            <w:tcW w:w="204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AYDI et al., 2025; BATALLA-GAVALDA et al., 2025, 2026</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Queda intragrupo com a suplementação; maior na fase menstrual, pela manhã e no handebol que no atletismo</w:t>
            </w:r>
          </w:p>
        </w:tc>
      </w:tr>
      <w:tr>
        <w:tc>
          <w:tcPr>
            <w:tcW w:w="1360"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Perturbação total</w:t>
            </w:r>
          </w:p>
        </w:tc>
        <w:tc>
          <w:tcPr>
            <w:tcW w:w="2608"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ASSUNÇÃO CARVALHO et al., 2018; AYDI et al., 2025; BATALLA-GAVALDA et al., 2021, 2025; DURAI; ATHISAYARAJ, 2018; RATZ-SULYOK et al., 2026b</w:t>
            </w:r>
          </w:p>
        </w:tc>
        <w:tc>
          <w:tcPr>
            <w:tcW w:w="204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BATALLA-GAVALDA et al., 2026; BRESCIANI et al., 2010; PADILHAS et al., 2018; PEREIRA et al., 2014</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Diminuição com a idade; maior após o Yo-Yo IR1 e no handebol que no atletismo; estável na temporada e na intertemporada</w:t>
            </w:r>
          </w:p>
        </w:tc>
      </w:tr>
      <w:tr>
        <w:tc>
          <w:tcPr>
            <w:tcW w:w="1360"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Afeto positivo</w:t>
            </w:r>
          </w:p>
        </w:tc>
        <w:tc>
          <w:tcPr>
            <w:tcW w:w="2608"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IVANOVIĆ; IVANOVIĆ, 2023; LUJIC; PRSKALO; BRATKO, 2023; SOTO; GARCÍA-HERRERO; CARCEDO, 2020</w:t>
            </w:r>
          </w:p>
        </w:tc>
        <w:tc>
          <w:tcPr>
            <w:tcW w:w="204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GARCÍA-HERRERO et al., 2022</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Maior em praticantes que em inativos; predito pela solidão; reduzido pelo feedback negativo</w:t>
            </w:r>
          </w:p>
        </w:tc>
      </w:tr>
      <w:tr>
        <w:tc>
          <w:tcPr>
            <w:tcW w:w="1360"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Afeto negativo</w:t>
            </w:r>
          </w:p>
        </w:tc>
        <w:tc>
          <w:tcPr>
            <w:tcW w:w="2608"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IVANOVIĆ; IVANOVIĆ, 2023; LUJIC; PRSKALO; BRATKO, 2023</w:t>
            </w:r>
          </w:p>
        </w:tc>
        <w:tc>
          <w:tcPr>
            <w:tcW w:w="204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GARCÍA-HERRERO et al., 2022; SOTO; GARCÍA-HERRERO; CARCEDO, 2020</w:t>
            </w:r>
          </w:p>
        </w:tc>
        <w:tc>
          <w:tcPr>
            <w:tcW w:w="3061" w:type="dxa"/>
            <w:tcBorders>
              <w:top w:val="single" w:sz="4" w:color="000000"/>
              <w:left w:val="nil"/>
              <w:bottom w:val="nil"/>
              <w:right w:val="nil"/>
            </w:tcBorders>
          </w:tcPr>
          <w:p>
            <w:pPr>
              <w:spacing w:lineRule="exact" w:line="200" w:before="20" w:after="20"/>
              <w:jc w:val="left"/>
            </w:pPr>
            <w:r>
              <w:rPr>
                <w:rFonts w:ascii="Times New Roman" w:hAnsi="Times New Roman"/>
                <w:i w:val="0"/>
                <w:sz w:val="17"/>
              </w:rPr>
              <w:t>Menor em praticantes que em inativos; predito pela solidão; sem efeito do feedback</w:t>
            </w:r>
          </w:p>
        </w:tc>
      </w:tr>
      <w:tr>
        <w:tc>
          <w:tcPr>
            <w:tcW w:w="1360" w:type="dxa"/>
            <w:tcBorders>
              <w:top w:val="single" w:sz="4" w:color="000000"/>
              <w:left w:val="nil"/>
              <w:bottom w:val="single" w:sz="8" w:color="000000"/>
              <w:right w:val="nil"/>
            </w:tcBorders>
          </w:tcPr>
          <w:p>
            <w:pPr>
              <w:spacing w:lineRule="exact" w:line="200" w:before="20" w:after="20"/>
              <w:jc w:val="left"/>
            </w:pPr>
            <w:r>
              <w:rPr>
                <w:rFonts w:ascii="Times New Roman" w:hAnsi="Times New Roman"/>
                <w:i w:val="0"/>
                <w:sz w:val="17"/>
              </w:rPr>
              <w:t>Valência afetiva</w:t>
            </w:r>
          </w:p>
        </w:tc>
        <w:tc>
          <w:tcPr>
            <w:tcW w:w="2608" w:type="dxa"/>
            <w:tcBorders>
              <w:top w:val="single" w:sz="4" w:color="000000"/>
              <w:left w:val="nil"/>
              <w:bottom w:val="single" w:sz="8" w:color="000000"/>
              <w:right w:val="nil"/>
            </w:tcBorders>
          </w:tcPr>
          <w:p>
            <w:pPr>
              <w:spacing w:lineRule="exact" w:line="200" w:before="20" w:after="20"/>
              <w:jc w:val="left"/>
            </w:pPr>
            <w:r>
              <w:rPr>
                <w:rFonts w:ascii="Times New Roman" w:hAnsi="Times New Roman"/>
                <w:i w:val="0"/>
                <w:sz w:val="17"/>
              </w:rPr>
              <w:t>BUGTEN et al., 2026; LAGNER et al., 2015; ROCHA; LOPES; MORAES, 2010; SAHLI et al., 2022</w:t>
            </w:r>
          </w:p>
        </w:tc>
        <w:tc>
          <w:tcPr>
            <w:tcW w:w="2041" w:type="dxa"/>
            <w:tcBorders>
              <w:top w:val="single" w:sz="4" w:color="000000"/>
              <w:left w:val="nil"/>
              <w:bottom w:val="single" w:sz="8" w:color="000000"/>
              <w:right w:val="nil"/>
            </w:tcBorders>
          </w:tcPr>
          <w:p>
            <w:pPr>
              <w:spacing w:lineRule="exact" w:line="200" w:before="20" w:after="20"/>
              <w:jc w:val="left"/>
            </w:pPr>
            <w:r>
              <w:rPr>
                <w:rFonts w:ascii="Times New Roman" w:hAnsi="Times New Roman"/>
                <w:i w:val="0"/>
                <w:sz w:val="17"/>
              </w:rPr>
              <w:t>MORENAS-AGUILAR et al., 2023</w:t>
            </w:r>
          </w:p>
        </w:tc>
        <w:tc>
          <w:tcPr>
            <w:tcW w:w="3061" w:type="dxa"/>
            <w:tcBorders>
              <w:top w:val="single" w:sz="4" w:color="000000"/>
              <w:left w:val="nil"/>
              <w:bottom w:val="single" w:sz="8" w:color="000000"/>
              <w:right w:val="nil"/>
            </w:tcBorders>
          </w:tcPr>
          <w:p>
            <w:pPr>
              <w:spacing w:lineRule="exact" w:line="200" w:before="20" w:after="20"/>
              <w:jc w:val="left"/>
            </w:pPr>
            <w:r>
              <w:rPr>
                <w:rFonts w:ascii="Times New Roman" w:hAnsi="Times New Roman"/>
                <w:i w:val="0"/>
                <w:sz w:val="17"/>
              </w:rPr>
              <w:t>Mudança com a informação sobre a duração do esforço, o resultado do jogo e o encorajamento; associação com a carga física</w:t>
            </w:r>
          </w:p>
        </w:tc>
      </w:tr>
    </w:tbl>
    <w:p>
      <w:pPr>
        <w:spacing w:before="40" w:after="0" w:line="240" w:lineRule="auto"/>
        <w:ind w:left="0" w:firstLine="0"/>
        <w:jc w:val="both"/>
      </w:pPr>
      <w:r>
        <w:rPr>
          <w:rFonts w:ascii="Times New Roman" w:hAnsi="Times New Roman"/>
          <w:i w:val="0"/>
          <w:sz w:val="20"/>
        </w:rPr>
        <w:t>Nota: um estudo pode constar das duas colunas de uma dimensão quando as comparações diferiram; os relatórios (BATALLA-GAVALDA et al., 2025, 2026) descrevem a mesma amostra. Não constam da tabela os estudos sem relato por dimensão.</w:t>
      </w:r>
    </w:p>
    <w:p>
      <w:pPr>
        <w:spacing w:before="0" w:after="160" w:line="240" w:lineRule="auto"/>
        <w:ind w:left="0" w:firstLine="0"/>
        <w:jc w:val="left"/>
      </w:pPr>
      <w:r>
        <w:rPr>
          <w:rFonts w:ascii="Times New Roman" w:hAnsi="Times New Roman"/>
          <w:i w:val="0"/>
          <w:sz w:val="20"/>
        </w:rPr>
        <w:t>Fonte: elaborada pelos autores (2026).</w:t>
      </w:r>
    </w:p>
    <w:p>
      <w:pPr>
        <w:keepNext/>
        <w:spacing w:before="240" w:after="240" w:line="360" w:lineRule="auto"/>
        <w:ind w:left="0" w:firstLine="0"/>
        <w:jc w:val="left"/>
      </w:pPr>
      <w:r>
        <w:rPr>
          <w:rFonts w:ascii="Times New Roman" w:hAnsi="Times New Roman"/>
          <w:b/>
          <w:sz w:val="24"/>
        </w:rPr>
        <w:t>4 DISCUSSÃO</w:t>
      </w:r>
    </w:p>
    <w:p>
      <w:pPr>
        <w:spacing w:before="0" w:after="0" w:line="360" w:lineRule="auto"/>
        <w:ind w:left="0" w:firstLine="709"/>
        <w:jc w:val="both"/>
      </w:pPr>
      <w:r>
        <w:rPr>
          <w:rFonts w:ascii="Times New Roman" w:hAnsi="Times New Roman"/>
          <w:i w:val="0"/>
          <w:sz w:val="24"/>
        </w:rPr>
        <w:t>Esta revisão sistemática sintetizou as evidências sobre os estados de humor em atletas de handebol. Até onde se sabe, trata-se da primeira revisão a reunir essa produção com critérios explícitos e avaliação da qualidade metodológica. Os 36 estudos incluídos permitiram responder às cinco questões de pesquisa, discutidas a seguir. Três constatações atravessam a discussão: o humor responde à carga, ao contexto competitivo e à interação com treinadores e colegas; o campo depende de um instrumento dominante, aplicado em momentos pouco declarados; e a evidência é escassa e raramente experimental.</w:t>
      </w:r>
    </w:p>
    <w:p>
      <w:pPr>
        <w:keepNext/>
        <w:spacing w:before="240" w:after="120" w:line="360" w:lineRule="auto"/>
        <w:ind w:left="0" w:firstLine="0"/>
        <w:jc w:val="left"/>
      </w:pPr>
      <w:r>
        <w:rPr>
          <w:rFonts w:ascii="Times New Roman" w:hAnsi="Times New Roman"/>
          <w:b/>
          <w:sz w:val="24"/>
        </w:rPr>
        <w:t>4.1 Características dos estudos e das populações</w:t>
      </w:r>
    </w:p>
    <w:p>
      <w:pPr>
        <w:spacing w:before="0" w:after="0" w:line="360" w:lineRule="auto"/>
        <w:ind w:left="0" w:firstLine="709"/>
        <w:jc w:val="both"/>
      </w:pPr>
      <w:r>
        <w:rPr>
          <w:rFonts w:ascii="Times New Roman" w:hAnsi="Times New Roman"/>
          <w:i w:val="0"/>
          <w:sz w:val="24"/>
        </w:rPr>
        <w:t>A produção sobre o tema é recente e reduzida, com menos de dois estudos por ano. O predomínio de amostras femininas contrasta com o desequilíbrio usual das ciências do esporte e reproduz o padrão da revisão de mapeamento paralela, mas convive com amostras pequenas, com mediana de 25 participantes, e com a omissão do sexo em parte dos estudos. Essa omissão é relevante, pois atletas de elite do sexo feminino relatam mais ansiedade e depressão que os do sexo masculino (KEW et al., 2025; KUO et al., 2025). Como o humor varia com a fase do ciclo menstrual (GHAZEL et al., 2022; LISENCHUK et al., 2019), ainda que um estudo com oito jogadoras não tenha detectado diferença (MORENAS-AGUILAR et al., 2023), a amostra mista sem separação por sexo impede justamente a comparação de interesse. A divergência repete a literatura geral, em que apenas estudos isolados relataram efeitos do ciclo sobre o humor (PALUDO et al., 2022) e em que os efeitos do ciclo sobre o desempenho de atletas de elite permanecem inconclusivos (MEIGNIÉ et al., 2021). A concentração na Espanha, na Tunísia e no Brasil, somada a estudos do Irã, do Iraque e da Jordânia, revela um campo internacional, porém apoiado em versões traduzidas dos instrumentos, cuja equivalência transcultural nem sempre foi verificada (HAN; PARSONS-SMITH; TERRY, 2020; TERRY et al., 2022), verificação necessária, pois o POMS abreviado não manteve sua estrutura original em atletas chineses (TAN et al., 2024).</w:t>
      </w:r>
    </w:p>
    <w:p>
      <w:pPr>
        <w:keepNext/>
        <w:spacing w:before="240" w:after="120" w:line="360" w:lineRule="auto"/>
        <w:ind w:left="0" w:firstLine="0"/>
        <w:jc w:val="left"/>
      </w:pPr>
      <w:r>
        <w:rPr>
          <w:rFonts w:ascii="Times New Roman" w:hAnsi="Times New Roman"/>
          <w:b/>
          <w:sz w:val="24"/>
        </w:rPr>
        <w:t>4.2 Instrumentos e momento da medida</w:t>
      </w:r>
    </w:p>
    <w:p>
      <w:pPr>
        <w:spacing w:before="0" w:after="0" w:line="360" w:lineRule="auto"/>
        <w:ind w:left="0" w:firstLine="709"/>
        <w:jc w:val="both"/>
      </w:pPr>
      <w:r>
        <w:rPr>
          <w:rFonts w:ascii="Times New Roman" w:hAnsi="Times New Roman"/>
          <w:i w:val="0"/>
          <w:sz w:val="24"/>
        </w:rPr>
        <w:t>O POMS respondeu por mais da metade dos estudos, em versões de 30 a 65 itens, o que dificulta a comparação direta dos escores. Sua versão abreviada, a Brunel Mood Scale, foi concebida para a aplicação repetida no treinamento (ROHLFS et al., 2008; TERRY; LANE; FOGARTY, 2003), mas apareceu em apenas três estudos. As escalas de múltiplos itens têm, em grande parte, propriedades de medida aceitáveis, ao passo que os itens únicos mais usados não foram validados (JEFFRIES et al., 2020). As escalas de afeto, como o PANAS e a Feeling Scale, medem outro construto, a valência afetiva geral ou momentânea (EKKEKAKIS; BRAND, 2019; HARDY; REJESKI, 1989; WATSON; CLARK; TELLEGEN, 1988), e não devem ser somadas ao perfil de humor; além disso, o momento de aplicação da Feeling Scale não é padronizado (BASTOS et al., 2023).</w:t>
      </w:r>
    </w:p>
    <w:p>
      <w:pPr>
        <w:spacing w:before="0" w:after="0" w:line="360" w:lineRule="auto"/>
        <w:ind w:left="0" w:firstLine="709"/>
        <w:jc w:val="both"/>
      </w:pPr>
      <w:r>
        <w:rPr>
          <w:rFonts w:ascii="Times New Roman" w:hAnsi="Times New Roman"/>
          <w:i w:val="0"/>
          <w:sz w:val="24"/>
        </w:rPr>
        <w:t>O ponto mais crítico é o momento da medida. Um mesmo escore de vigor tem significados distintos antes de um jogo decisivo, após uma sessão de carga elevada ou em um dia de descanso, e a ausência dessa informação em parte dos estudos limita a leitura do conjunto (BEEDIE; TERRY; LANE, 2000; LOCHBAUM et al., 2021). O horário integra esse problema: no handebol, jogadores de elite tiveram mais estados negativos pela manhã (ESSID et al., 2022), e o desempenho neuromuscular em esportes coletivos foi maior no fim da tarde ou no início da noite (MARTIN-LÓPEZ et al., 2025), mas os sinais do horário do exercício sobre o humor ainda não sustentam recomendações definitivas (HU; CHEN, 2026).</w:t>
      </w:r>
    </w:p>
    <w:p>
      <w:pPr>
        <w:keepNext/>
        <w:spacing w:before="240" w:after="120" w:line="360" w:lineRule="auto"/>
        <w:ind w:left="0" w:firstLine="0"/>
        <w:jc w:val="left"/>
      </w:pPr>
      <w:r>
        <w:rPr>
          <w:rFonts w:ascii="Times New Roman" w:hAnsi="Times New Roman"/>
          <w:b/>
          <w:sz w:val="24"/>
        </w:rPr>
        <w:t>4.3 Humor, carga e desempenho</w:t>
      </w:r>
    </w:p>
    <w:p>
      <w:pPr>
        <w:spacing w:before="0" w:after="0" w:line="360" w:lineRule="auto"/>
        <w:ind w:left="0" w:firstLine="709"/>
        <w:jc w:val="both"/>
      </w:pPr>
      <w:r>
        <w:rPr>
          <w:rFonts w:ascii="Times New Roman" w:hAnsi="Times New Roman"/>
          <w:i w:val="0"/>
          <w:sz w:val="24"/>
        </w:rPr>
        <w:t>Os estudos de temporada mostraram variações de dimensões isoladas, como a fadiga, a raiva, o vigor e a tensão, sem alteração da perturbação total do humor (BRESCIANI et al., 2010; MONTES; GOMES, 2014; PADILHAS et al., 2018). Esse padrão é coerente com o uso clássico do perfil de humor no monitoramento da carga (MORGAN et al., 1987; RAGLIN, 2001) e com a superioridade das medidas autorrelatadas na detecção de respostas ao treinamento (KELLMANN et al., 2018; SAW; MAIN; GASTIN, 2016). Converge também com o futebol, em que os escores do POMS se relacionaram à variação da carga (SELMI et al., 2023), e com o rúgbi de elite, em que cargas diárias predisseram queda do humor com defasagens variáveis (CREWTHER et al., 2025). Sugere, ainda, que o escore total pode ocultar mudanças relevantes em dimensões específicas, razão pela qual a leitura do perfil tem sido preferida à da soma (LANE; TERRY, 2000; PARSONS-SMITH; TERRY; MACHIN, 2017). Convém notar, porém, que as alterações de humor em atletas de elite com overreaching não funcional ou overtraining apoiam-se em evidência limitada e heterogênea (VALDESALICI et al., 2026), e nenhum estudo documentou a transição até o overtraining com queda prolongada do desempenho (WEAKLEY; HALSON; MUJIKA, 2022).</w:t>
      </w:r>
    </w:p>
    <w:p>
      <w:pPr>
        <w:spacing w:before="0" w:after="0" w:line="360" w:lineRule="auto"/>
        <w:ind w:left="0" w:firstLine="709"/>
        <w:jc w:val="both"/>
      </w:pPr>
      <w:r>
        <w:rPr>
          <w:rFonts w:ascii="Times New Roman" w:hAnsi="Times New Roman"/>
          <w:i w:val="0"/>
          <w:sz w:val="24"/>
        </w:rPr>
        <w:t>A relação com o desempenho físico foi pouco explorada, e a ausência de correlação entre a variação da condição física e o humor (MONTES; GOMES, 2014) não permite conclusões, dado o tamanho das amostras. O acompanhamento mensal de 37 jovens jogadores reforça essa cautela, pois o POMS teve sensibilidade inferior a 20% para mudanças do desempenho físico (BUCHHEIT, 2015), resultado compatível com a insuficiência da frequência mensal para captar a resposta à carga. Em contrapartida, medidas repetidas em cada sessão revelaram associação entre o prazer e a carga física em jogadoras adolescentes (BUGTEN et al., 2026), o que indica que a resolução temporal da medida condiciona o achado. A frequência, contudo, não basta, pois itens únicos de bem-estar, entre eles o humor, associaram-se de modo predominantemente trivial a moderado à carga (DUIGNAN et al., 2020).</w:t>
      </w:r>
    </w:p>
    <w:p>
      <w:pPr>
        <w:keepNext/>
        <w:spacing w:before="240" w:after="120" w:line="360" w:lineRule="auto"/>
        <w:ind w:left="0" w:firstLine="0"/>
        <w:jc w:val="left"/>
      </w:pPr>
      <w:r>
        <w:rPr>
          <w:rFonts w:ascii="Times New Roman" w:hAnsi="Times New Roman"/>
          <w:b/>
          <w:sz w:val="24"/>
        </w:rPr>
        <w:t>4.4 Humor na competição e sob pressão</w:t>
      </w:r>
    </w:p>
    <w:p>
      <w:pPr>
        <w:spacing w:before="0" w:after="0" w:line="360" w:lineRule="auto"/>
        <w:ind w:left="0" w:firstLine="709"/>
        <w:jc w:val="both"/>
      </w:pPr>
      <w:r>
        <w:rPr>
          <w:rFonts w:ascii="Times New Roman" w:hAnsi="Times New Roman"/>
          <w:i w:val="0"/>
          <w:sz w:val="24"/>
        </w:rPr>
        <w:t>A competição oficial revelou o humor como estado sensível ao resultado e ao significado do jogo. A vitória associou-se a humor mais positivo, e esse estado explicou parte das diferenças cognitivas observadas após a partida (LAGNER et al., 2015), o que conecta o humor às exigências de atenção e de memória de uma modalidade decidida sob pressão do adversário. No futebol profissional, a vitória também se associou a mais prazer e melhor bem-estar (FESSI; MOALLA, 2018), e, no basquetebol 3 × 3, a derrota e o jogo equilibrado associaram-se a maior percepção de esforço (SANSONE et al., 2025). No handebol, o bem-estar no dia do jogo interagiu com o tipo de partida sobre o resultado da equipe, embora medido por questionário não validado (HENZE et al., 2026). O jogo oficial produziu perfil de humor menos perturbado que testes máximos de laboratório e de campo (BATALLA-GAVALDA et al., 2025, 2026), achado que evidencia a especificidade do contexto competitivo e questiona a extrapolação de respostas afetivas obtidas em testes padronizados. A variação da fadiga e do vigor após a partida, associada ao limiar de dor no ombro (OBREGÓN SIBÓN et al., 2017), sugere ainda que o perfil de humor pós-jogo acompanha o estado físico do atleta. Em atletas de praia, as habilidades psicológicas e a autoconfiança associaram-se a humor mais favorável na véspera da competição (REIGAL et al., 2020), em consonância com os modelos que vinculam a regulação emocional e o clima social ao estado afetivo dos atletas (MEYERS; TAMIR, 2024; ROBAZZA et al., 2022; TAMMINEN et al., 2019).</w:t>
      </w:r>
    </w:p>
    <w:p>
      <w:pPr>
        <w:spacing w:before="0" w:after="0" w:line="360" w:lineRule="auto"/>
        <w:ind w:left="0" w:firstLine="709"/>
        <w:jc w:val="both"/>
      </w:pPr>
      <w:r>
        <w:rPr>
          <w:rFonts w:ascii="Times New Roman" w:hAnsi="Times New Roman"/>
          <w:i w:val="0"/>
          <w:sz w:val="24"/>
        </w:rPr>
        <w:t>O confinamento pela pandemia, situação extrema de privação do treino coletivo e da competição, elevou a perturbação do humor de jogadoras jovens acima da observada em atletas de modalidade individual (BATALLA-GAVALDA et al., 2021), e a solidão explicou parte do afeto de jogadores juniores (IVANOVIĆ; IVANOVIĆ, 2023). Esses achados reforçam o papel do convívio da equipe no estado afetivo e convergem com a pior saúde mental de atletas na pandemia, atenuada pelo treino domiciliar (JIA et al., 2023), com a associação do apoio social a menos ansiedade e depressão (LUO et al., 2025) e com a solidão como preditora de burnout em atletas adolescentes (PACEWICZ; SMITH; FRANK, 2025).</w:t>
      </w:r>
    </w:p>
    <w:p>
      <w:pPr>
        <w:spacing w:before="0" w:after="0" w:line="360" w:lineRule="auto"/>
        <w:ind w:left="0" w:firstLine="709"/>
        <w:jc w:val="both"/>
      </w:pPr>
      <w:r>
        <w:rPr>
          <w:rFonts w:ascii="Times New Roman" w:hAnsi="Times New Roman"/>
          <w:i w:val="0"/>
          <w:sz w:val="24"/>
        </w:rPr>
        <w:t>A pressão competitiva atua também antes do jogo, por meio da ansiedade e da avaliação cognitiva da situação. No handebol de praia, a ansiedade competitiva foi medida com o humor na véspera da competição (REIGAL et al., 2020), mas a evolução desses estados nas horas que antecedem a partida permanece pouco descrita na modalidade. Em jovens jogadoras de basquetebol, a variabilidade da frequência cardíaca caiu após o jogo em relação às medidas basal e pré-competitiva, e a ansiedade somática aumentou após a partida, sem elevação da ansiedade antes da competição (GARCÍA-CEBERINO; FUENTES-GARCÍA; VILLAFAINA, 2022). Em atletas de diversas modalidades, a percepção de ameaça associou-se positivamente à ansiedade esportiva, e o mindfulness, negativamente (KARADEMIR et al., 2026). Em esgrimistas de elite, a avaliação do estresse, o enfrentamento, a emoção e o desempenho objetivo relacionaram-se de forma dinâmica ao longo das partidas, com efeitos mediadores do enfrentamento e da emoção (DORON; MARTINENT, 2021). Na seleção feminina de basquetebol em competição internacional, a tensão e o vigor declinaram ao longo de 14 dias, e as subescalas de humor explicaram 26,0% da variância da eficiência das jogadoras (BIRD et al., 2025). Esses resultados sugerem que o humor pré-jogo no handebol deve ser interpretado com a ansiedade e com a avaliação de desafio ou de ameaça, e não como medida isolada.</w:t>
      </w:r>
    </w:p>
    <w:p>
      <w:pPr>
        <w:keepNext/>
        <w:spacing w:before="240" w:after="120" w:line="360" w:lineRule="auto"/>
        <w:ind w:left="0" w:firstLine="0"/>
        <w:jc w:val="left"/>
      </w:pPr>
      <w:r>
        <w:rPr>
          <w:rFonts w:ascii="Times New Roman" w:hAnsi="Times New Roman"/>
          <w:b/>
          <w:sz w:val="24"/>
        </w:rPr>
        <w:t>4.5 Intervenções sobre o humor</w:t>
      </w:r>
    </w:p>
    <w:p>
      <w:pPr>
        <w:spacing w:before="0" w:after="0" w:line="360" w:lineRule="auto"/>
        <w:ind w:left="0" w:firstLine="709"/>
        <w:jc w:val="both"/>
      </w:pPr>
      <w:r>
        <w:rPr>
          <w:rFonts w:ascii="Times New Roman" w:hAnsi="Times New Roman"/>
          <w:i w:val="0"/>
          <w:sz w:val="24"/>
        </w:rPr>
        <w:t>As intervenções mais consistentes foram de natureza social e verbal. O encorajamento verbal individual e o encorajamento combinado com instrução técnica melhoraram o humor e a valência afetiva durante a prática (AYDI et al., 2025; SAHLI et al., 2022, 2024), e o feedback negativo reduziu o afeto positivo (SOTO; GARCÍA-HERRERO; CARCEDO, 2020). No futebol, o encorajamento verbal elevou a carga interna e o desempenho técnico na maioria dos estudos, sobretudo em jovens e amadores (SELMI et al., 2026), e, no basquetebol juvenil, aumentou o prazer e também a fadiga (YILMAZ et al., 2025). Esses resultados indicam que a comunicação do treinador ou do professor é, por si, um determinante do estado afetivo no handebol. A ausência de efeito do feedback comparativo na primeira divisão (GARCÍA-HERRERO et al., 2022) sugere que o nível competitivo e a relação com o treinador moderam essa influência, hipótese compatível com a relação atenuada entre clima motivacional e afeto em atletas de elite (LOCHBAUM; SISNEROS, 2024).</w:t>
      </w:r>
    </w:p>
    <w:p>
      <w:pPr>
        <w:spacing w:before="0" w:after="0" w:line="360" w:lineRule="auto"/>
        <w:ind w:left="0" w:firstLine="709"/>
        <w:jc w:val="both"/>
      </w:pPr>
      <w:r>
        <w:rPr>
          <w:rFonts w:ascii="Times New Roman" w:hAnsi="Times New Roman"/>
          <w:i w:val="0"/>
          <w:sz w:val="24"/>
        </w:rPr>
        <w:t>As intervenções nutricionais produziram efeitos pequenos e inconsistentes (ASSUNÇÃO CARVALHO et al., 2018; MIRALLES-AMORÓS et al., 2023). Já o efeito da cafeína sobre o humor foi maior em boxeadores de elite que em atletas recreacionais (JODRA et al., 2020). As intervenções psicológicas e musicais foram descritas de modo insuficiente para replicação (AL-WATTAR; AL-BADRANE, 2014; DIACHENKO; TYSHCHENKO, 2025; KHAZDOZI; BAHARI; ASHAYERI, 2017), embora a música aumente a valência afetiva no exercício agudo (HE et al., 2025). Nenhuma intervenção testou estratégias de recuperação ou de sono, embora a literatura geral indique efeitos das intervenções de sono sobre o humor de atletas (GWYTHER et al., 2022), sobretudo sobre o afeto positivo, a ansiedade, a tensão e o vigor (WALSH et al., 2026).</w:t>
      </w:r>
    </w:p>
    <w:p>
      <w:pPr>
        <w:spacing w:before="0" w:after="0" w:line="360" w:lineRule="auto"/>
        <w:ind w:left="0" w:firstLine="709"/>
        <w:jc w:val="both"/>
      </w:pPr>
      <w:r>
        <w:rPr>
          <w:rFonts w:ascii="Times New Roman" w:hAnsi="Times New Roman"/>
          <w:i w:val="0"/>
          <w:sz w:val="24"/>
        </w:rPr>
        <w:t>As intervenções psicológicas estruturadas, ainda raras no handebol (AL-WATTAR; AL-BADRANE, 2014), têm evidência mais ampla em outras modalidades coletivas. No futebol sub-15, um programa de 13 semanas e 19 sessões melhorou o controle do estresse, a ansiedade cognitiva e a autoconfiança, em delineamento quase experimental (DOMÍNGUEZ GONZÁLEZ et al., 2024). Em jovens futebolistas de elite, o treino com restrições estressantes por quatro semanas favoreceu características de resiliência da equipe e reduziu a preocupação e a falta de concentração, embora com tendência de aumento da ansiedade (TASSI et al., 2023). Quanto ao mindfulness, a metanálise de ensaios randomizados encontrou efeitos sobre o nível de mindfulness e sobre componentes psicológicos relacionados, sem efeito significativo sobre a saúde mental (WANG; LEI; FAN, 2023). Outra metanálise, com 32 estudos e 1.108 atletas de alto nível, indicou melhora da resiliência e do estado de fluxo e redução da ansiedade, da depressão e da fadiga psicológica, mas não do bem-estar subjetivo (ZHANG et al., 2025). Sobre a regulação emocional, as intervenções de mindfulness tiveram efeito moderado (g = 0,81), estimado, porém, com apenas sete estudos (LI; LU; FANG, 2026). No handebol de elite, a intervenção baseada em mindfulness reduziu a frustração percebida (STAIANO et al., 2026), o que torna promissora a inclusão do humor como desfecho em ensaios desse tipo.</w:t>
      </w:r>
    </w:p>
    <w:p>
      <w:pPr>
        <w:keepNext/>
        <w:spacing w:before="240" w:after="120" w:line="360" w:lineRule="auto"/>
        <w:ind w:left="0" w:firstLine="0"/>
        <w:jc w:val="left"/>
      </w:pPr>
      <w:r>
        <w:rPr>
          <w:rFonts w:ascii="Times New Roman" w:hAnsi="Times New Roman"/>
          <w:b/>
          <w:sz w:val="24"/>
        </w:rPr>
        <w:t>4.6 Mecanismos plausíveis e modelos explicativos</w:t>
      </w:r>
    </w:p>
    <w:p>
      <w:pPr>
        <w:spacing w:before="0" w:after="0" w:line="360" w:lineRule="auto"/>
        <w:ind w:left="0" w:firstLine="709"/>
        <w:jc w:val="both"/>
      </w:pPr>
      <w:r>
        <w:rPr>
          <w:rFonts w:ascii="Times New Roman" w:hAnsi="Times New Roman"/>
          <w:i w:val="0"/>
          <w:sz w:val="24"/>
        </w:rPr>
        <w:t>Os estudos incluídos descreveram associações, mas não testaram os mecanismos que ligam a carga, o contexto e o humor. A literatura de outras modalidades permite, contudo, delimitar quatro vias plausíveis, a serem tratadas como hipóteses. A primeira é endócrina. Em jogadoras de handebol, quatro jogos consecutivos de torneio elevaram o cortisol e a interleucina 6 e reduziram o IGF-1, padrão de ativação do eixo hipotálamo-hipófise-adrenal e de desequilíbrio entre anabolismo e catabolismo (PANCAR et al., 2026). Três estudos incluídos mediram o cortisol com o humor ou o afeto, em torno da vitória ou da derrota, durante a corrida em esteira e na avaliação do estado endócrino (FARZANEGI et al., [2008?]; RATZ-SULYOK et al., 2026b; ROCHA; LOPES; MORAES, 2010). A correspondência entre hormônios e estado subjetivo, porém, é fraca. No basquetebol profissional, as variações semanais de testosterona, cortisol e carga relacionaram-se apenas fracamente com o bem-estar (KAMARAUSKAS et al., 2024), e, no futebol de elite, o período congestionado elevou o estresse, a fadiga e a dor muscular autorrelatados, que refletiram a queda da aptidão física, ao passo que os marcadores bioquímicos não a refletiram (SAIDI et al., 2022).</w:t>
      </w:r>
    </w:p>
    <w:p>
      <w:pPr>
        <w:spacing w:before="0" w:after="0" w:line="360" w:lineRule="auto"/>
        <w:ind w:left="0" w:firstLine="709"/>
        <w:jc w:val="both"/>
      </w:pPr>
      <w:r>
        <w:rPr>
          <w:rFonts w:ascii="Times New Roman" w:hAnsi="Times New Roman"/>
          <w:i w:val="0"/>
          <w:sz w:val="24"/>
        </w:rPr>
        <w:t>A segunda via envolve o sono e a recuperação. No rúgbi profissional, as viagens internacionais reduziram de modo pequeno a grande o sono e o bem-estar, e o efeito dos jogos variou em magnitude e direção entre as equipes (LO et al., 2022). Na seleção feminina de basquetebol, a duração do sono apresentou grandes diferenças individuais, e os autores indicaram a otimização do sono como estratégia para atenuar perturbações do humor (BIRD et al., 2025). Como as intervenções de sono modificam o humor de atletas (GWYTHER et al., 2022; WALSH et al., 2026) e o handebol de elite convive com semanas de dois ou mais jogos, o sono é candidato natural a mediador entre a carga competitiva e o humor. A terceira via é a da carga acumulada, cuja variação interindividual aumenta nas semanas congestionadas (BÜCHEL; DÖRING; BAUMEISTER, 2026), o que pode explicar por que as médias da equipe ocultam respostas individuais de humor.</w:t>
      </w:r>
    </w:p>
    <w:p>
      <w:pPr>
        <w:spacing w:before="0" w:after="0" w:line="360" w:lineRule="auto"/>
        <w:ind w:left="0" w:firstLine="709"/>
        <w:jc w:val="both"/>
      </w:pPr>
      <w:r>
        <w:rPr>
          <w:rFonts w:ascii="Times New Roman" w:hAnsi="Times New Roman"/>
          <w:i w:val="0"/>
          <w:sz w:val="24"/>
        </w:rPr>
        <w:t>A quarta via é social e cognitiva. O contágio emocional e as emoções coletivas oferecem explicação para a sensibilidade do humor ao resultado (LAGNER et al., 2015) e ao convívio da equipe (BATALLA-GAVALDA et al., 2021; IVANOVIĆ; IVANOVIĆ, 2023), pois as emoções da equipe após o jogo associaram-se às emoções individuais no futebol (RUMBOLD et al., 2022), e estados induzidos por colegas modificaram o esforço, a coesão e o desempenho (ELDADI; SHARON-DAVID; TENENBAUM, 2023). A avaliação cognitiva completa esse quadro. Segundo o modelo de Lazarus, a emoção decorre da avaliação da relação entre as exigências da situação e os recursos do atleta (LAZARUS, 2000); em atletas, a percepção de ameaça associou-se a mais ansiedade (KARADEMIR et al., 2026), e a avaliação, o enfrentamento e a emoção interagiram dinamicamente com o desempenho em competição (DORON; MARTINENT, 2021). Essas quatro vias não são excludentes. A carga elevada pode perturbar o sono e ativar o eixo do estresse, a derrota pode difundir-se pelo grupo, e a avaliação de ameaça pode amplificar ambas as respostas. Nenhum estudo incluído testou essas mediações, o que define uma prioridade de pesquisa.</w:t>
      </w:r>
    </w:p>
    <w:p>
      <w:pPr>
        <w:keepNext/>
        <w:spacing w:before="240" w:after="120" w:line="360" w:lineRule="auto"/>
        <w:ind w:left="0" w:firstLine="0"/>
        <w:jc w:val="left"/>
      </w:pPr>
      <w:r>
        <w:rPr>
          <w:rFonts w:ascii="Times New Roman" w:hAnsi="Times New Roman"/>
          <w:b/>
          <w:sz w:val="24"/>
        </w:rPr>
        <w:t>4.7 Comparação com outras modalidades coletivas</w:t>
      </w:r>
    </w:p>
    <w:p>
      <w:pPr>
        <w:spacing w:before="0" w:after="0" w:line="360" w:lineRule="auto"/>
        <w:ind w:left="0" w:firstLine="709"/>
        <w:jc w:val="both"/>
      </w:pPr>
      <w:r>
        <w:rPr>
          <w:rFonts w:ascii="Times New Roman" w:hAnsi="Times New Roman"/>
          <w:i w:val="0"/>
          <w:sz w:val="24"/>
        </w:rPr>
        <w:t>A comparação com outras modalidades coletivas mostra convergências e uma diferença de método. No futebol, os escores de humor acompanharam a carga (SELMI et al., 2023), a vitória associou-se a mais prazer e bem-estar (FESSI; MOALLA, 2018), e o período congestionado comprometeu o bem-estar e a aptidão física (SAIDI et al., 2022), padrão compatível com as variações de fadiga e de vigor ao longo da temporada no handebol (BRESCIANI et al., 2010; PADILHAS et al., 2018). No basquetebol, o humor medido pela Brunel Mood Scale explicou 49,0% da variância do bem-estar e 46,8% da prontidão em competição internacional (BIRD et al., 2025), e as relações entre hormônios, carga e bem-estar foram fracas na pré-temporada (KAMARAUSKAS et al., 2024). No voleibol, cujo calendário reúne pré-temporada curta e fase competitiva longa e densa, a revisão sistemática recomendou o monitoramento diário do bem-estar pelo índice de Hooper (REBELO et al., 2024). No rúgbi, as cargas diárias predisseram o bem-estar com defasagens variáveis (CREWTHER et al., 2025), e as viagens e os jogos alteraram o sono e o bem-estar (LO et al., 2022). No hóquei no gelo, o apoio social, as metas de abordagem da tarefa e o comportamento orientado à tarefa influenciaram o bem-estar e a saúde mental de atletas de elite (VEILLETTE et al., 2025), em consonância com o papel do clima de tarefa no handebol (GREBLO JURAKIĆ; BOJIĆ-ĆAĆIĆ; LJUBIČIĆ, 2026).</w:t>
      </w:r>
    </w:p>
    <w:p>
      <w:pPr>
        <w:spacing w:before="0" w:after="0" w:line="360" w:lineRule="auto"/>
        <w:ind w:left="0" w:firstLine="709"/>
        <w:jc w:val="both"/>
      </w:pPr>
      <w:r>
        <w:rPr>
          <w:rFonts w:ascii="Times New Roman" w:hAnsi="Times New Roman"/>
          <w:i w:val="0"/>
          <w:sz w:val="24"/>
        </w:rPr>
        <w:t>A diferença está no instrumento. Nas demais modalidades predominam questionários compostos de bem-estar, que reúnem fadiga, sono, dor muscular e estresse e, por vezes, um item de humor (REBELO et al., 2024; SAIDI et al., 2022), ao passo que, no handebol, predominou o perfil multidimensional do POMS e de suas versões. Essa diferença favorece a leitura das dimensões específicas no handebol, mas dificulta a comparação direta com o futebol, o basquetebol e o rúgbi, cujos achados se apoiam com frequência em itens únicos sem validação demonstrada (JEFFRIES et al., 2020). Além disso, o handebol combina contato físico frequente, intermitência e decisões sob pressão temporal (MICHALSIK; AAGAARD; MADSEN, 2012; PÓVOAS et al., 2012), o que aproxima suas exigências das do rúgbi e do basquetebol, mas conta com menos estudos e amostras menores. A literatura de outras modalidades serve, portanto, como fonte de hipóteses, e não como substituto da evidência específica.</w:t>
      </w:r>
    </w:p>
    <w:p>
      <w:pPr>
        <w:keepNext/>
        <w:spacing w:before="240" w:after="120" w:line="360" w:lineRule="auto"/>
        <w:ind w:left="0" w:firstLine="0"/>
        <w:jc w:val="left"/>
      </w:pPr>
      <w:r>
        <w:rPr>
          <w:rFonts w:ascii="Times New Roman" w:hAnsi="Times New Roman"/>
          <w:b/>
          <w:sz w:val="24"/>
        </w:rPr>
        <w:t>4.8 Qualidade metodológica, limitações e agenda</w:t>
      </w:r>
    </w:p>
    <w:p>
      <w:pPr>
        <w:spacing w:before="0" w:after="0" w:line="360" w:lineRule="auto"/>
        <w:ind w:left="0" w:firstLine="709"/>
        <w:jc w:val="both"/>
      </w:pPr>
      <w:r>
        <w:rPr>
          <w:rFonts w:ascii="Times New Roman" w:hAnsi="Times New Roman"/>
          <w:i w:val="0"/>
          <w:sz w:val="24"/>
        </w:rPr>
        <w:t>Dezoito estudos alcançaram qualidade alta, mas as falhas recorrentes envolveram a descrição da amostra, o momento da medida e o controle ou ajuste de confusão. Esta revisão também apresenta limitações. A triagem e a extração foram assistidas por modelo de linguagem, e a conferência humana por amostragem não foi concluída. Nas duas etapas, 59 relatórios não foram recuperados, e dez foram extraídos apenas do resumo. A atualização restringiu-se a cinco fontes de acesso programático, sem a Scopus, a Web of Science e a LILACS, e incluiu um preprint sem revisão por pares (BUGTEN et al., 2026). Além disso, o protocolo não foi registrado prospectivamente, e a avaliação da qualidade, com seis itens, não substitui instrumentos formais de risco de viés. A heterogeneidade de instrumentos, momentos e delineamentos impediu a metanálise (HOPKINS et al., 2009), e a síntese seguiu a diretriz SWiM (CAMPBELL et al., 2020). Entre os pontos fortes, destacam-se a busca em oito bases sem restrição de data, a atualização com consulta ao texto completo e rastreamento de citações, a releitura integral dos relatórios incluídos, que corrigiu onze decisões anteriores, e a rastreabilidade de cada resultado até o trecho literal da fonte.</w:t>
      </w:r>
    </w:p>
    <w:p>
      <w:pPr>
        <w:keepNext/>
        <w:spacing w:before="120" w:after="60" w:line="240" w:lineRule="auto"/>
        <w:ind w:left="0" w:firstLine="0"/>
        <w:jc w:val="both"/>
      </w:pPr>
      <w:r>
        <w:rPr>
          <w:rFonts w:ascii="Times New Roman" w:hAnsi="Times New Roman"/>
          <w:b/>
          <w:sz w:val="20"/>
        </w:rPr>
        <w:t>Tabela 7</w:t>
      </w:r>
      <w:r>
        <w:rPr>
          <w:rFonts w:ascii="Times New Roman" w:hAnsi="Times New Roman"/>
          <w:i w:val="0"/>
          <w:sz w:val="20"/>
        </w:rPr>
        <w:t xml:space="preserve"> – Agenda de pesquisa sobre o humor no handebol</w:t>
      </w:r>
    </w:p>
    <w:tbl>
      <w:tblPr>
        <w:jc w:val="center"/>
        <w:tblLayout w:type="fixed"/>
        <w:tblLook w:firstColumn="1" w:firstRow="1" w:lastColumn="0" w:lastRow="0" w:noHBand="0" w:noVBand="1" w:val="04A0"/>
        <w:tblW w:w="9072" w:type="dxa"/>
        <w:tblLayout w:type="fixed"/>
      </w:tblPr>
      <w:tblGrid>
        <w:gridCol w:w="1927"/>
        <w:gridCol w:w="3175"/>
        <w:gridCol w:w="3969"/>
      </w:tblGrid>
      <w:tr>
        <w:trPr>
          <w:tblHeader w:val="true"/>
        </w:trPr>
        <w:tc>
          <w:tcPr>
            <w:tcW w:w="1927" w:type="dxa"/>
            <w:tcBorders>
              <w:top w:val="single" w:sz="8" w:color="000000"/>
              <w:left w:val="nil"/>
              <w:bottom w:val="single" w:sz="6" w:color="000000"/>
              <w:right w:val="nil"/>
            </w:tcBorders>
          </w:tcPr>
          <w:p>
            <w:pPr>
              <w:spacing w:lineRule="exact" w:line="220"/>
              <w:jc w:val="center"/>
            </w:pPr>
            <w:r>
              <w:rPr>
                <w:rFonts w:ascii="Times New Roman" w:hAnsi="Times New Roman"/>
                <w:b/>
                <w:sz w:val="19"/>
              </w:rPr>
              <w:t>Lacuna</w:t>
            </w:r>
          </w:p>
        </w:tc>
        <w:tc>
          <w:tcPr>
            <w:tcW w:w="3175" w:type="dxa"/>
            <w:tcBorders>
              <w:top w:val="single" w:sz="8" w:color="000000"/>
              <w:left w:val="nil"/>
              <w:bottom w:val="single" w:sz="6" w:color="000000"/>
              <w:right w:val="nil"/>
            </w:tcBorders>
          </w:tcPr>
          <w:p>
            <w:pPr>
              <w:spacing w:lineRule="exact" w:line="220"/>
              <w:jc w:val="center"/>
            </w:pPr>
            <w:r>
              <w:rPr>
                <w:rFonts w:ascii="Times New Roman" w:hAnsi="Times New Roman"/>
                <w:b/>
                <w:sz w:val="19"/>
              </w:rPr>
              <w:t>Situação atual</w:t>
            </w:r>
          </w:p>
        </w:tc>
        <w:tc>
          <w:tcPr>
            <w:tcW w:w="3969" w:type="dxa"/>
            <w:tcBorders>
              <w:top w:val="single" w:sz="8" w:color="000000"/>
              <w:left w:val="nil"/>
              <w:bottom w:val="single" w:sz="6" w:color="000000"/>
              <w:right w:val="nil"/>
            </w:tcBorders>
          </w:tcPr>
          <w:p>
            <w:pPr>
              <w:spacing w:lineRule="exact" w:line="220"/>
              <w:jc w:val="center"/>
            </w:pPr>
            <w:r>
              <w:rPr>
                <w:rFonts w:ascii="Times New Roman" w:hAnsi="Times New Roman"/>
                <w:b/>
                <w:sz w:val="19"/>
              </w:rPr>
              <w:t>Recomendação</w:t>
            </w:r>
          </w:p>
        </w:tc>
      </w:tr>
      <w:tr>
        <w:tc>
          <w:tcPr>
            <w:tcW w:w="1927" w:type="dxa"/>
            <w:tcBorders>
              <w:top w:val="nil"/>
              <w:left w:val="nil"/>
              <w:bottom w:val="nil"/>
              <w:right w:val="nil"/>
            </w:tcBorders>
          </w:tcPr>
          <w:p>
            <w:pPr>
              <w:spacing w:lineRule="exact" w:line="220" w:before="20" w:after="20"/>
              <w:jc w:val="left"/>
            </w:pPr>
            <w:r>
              <w:rPr>
                <w:rFonts w:ascii="Times New Roman" w:hAnsi="Times New Roman"/>
                <w:i w:val="0"/>
                <w:sz w:val="19"/>
              </w:rPr>
              <w:t>Momento da medida</w:t>
            </w:r>
          </w:p>
        </w:tc>
        <w:tc>
          <w:tcPr>
            <w:tcW w:w="3175" w:type="dxa"/>
            <w:tcBorders>
              <w:top w:val="nil"/>
              <w:left w:val="nil"/>
              <w:bottom w:val="nil"/>
              <w:right w:val="nil"/>
            </w:tcBorders>
          </w:tcPr>
          <w:p>
            <w:pPr>
              <w:spacing w:lineRule="exact" w:line="220" w:before="20" w:after="20"/>
              <w:jc w:val="left"/>
            </w:pPr>
            <w:r>
              <w:rPr>
                <w:rFonts w:ascii="Times New Roman" w:hAnsi="Times New Roman"/>
                <w:i w:val="0"/>
                <w:sz w:val="19"/>
              </w:rPr>
              <w:t>Declarado com precisão em parte dos estudos</w:t>
            </w:r>
          </w:p>
        </w:tc>
        <w:tc>
          <w:tcPr>
            <w:tcW w:w="3969" w:type="dxa"/>
            <w:tcBorders>
              <w:top w:val="nil"/>
              <w:left w:val="nil"/>
              <w:bottom w:val="nil"/>
              <w:right w:val="nil"/>
            </w:tcBorders>
          </w:tcPr>
          <w:p>
            <w:pPr>
              <w:spacing w:lineRule="exact" w:line="220" w:before="20" w:after="20"/>
              <w:jc w:val="left"/>
            </w:pPr>
            <w:r>
              <w:rPr>
                <w:rFonts w:ascii="Times New Roman" w:hAnsi="Times New Roman"/>
                <w:i w:val="0"/>
                <w:sz w:val="19"/>
              </w:rPr>
              <w:t>Medidas antes e após jogos e sessões, com registro do horário e do contexto</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Instrumento</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POMS em versões de 30 a 65 itens; BRUMS pouco usada</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BRUMS ou POMS abreviado validado no idioma, com todas as dimensões (VLACHOPOULOS; LANE; TERRY, 2023)</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Delineamento</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Predomínio de estudos transversais; poucos ensaios</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Ensaios por equipes e medidas repetidas com modelos multivariados (AFONSO et al., 2025)</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Sexo e ciclo menstrual</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Amostras mistas sem análise por sexo</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Análise por sexo e registro preciso da fase do ciclo (MEIGNIÉ et al., 2021)</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Intervenções</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Comunicação verbal e feedback testados em sessões isoladas</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Programas de comunicação do treinador, clima de tarefa, sono e recuperação na temporada</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Nutrição e energia</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Efeitos inconsistentes em amostras pequenas</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Considerar a relação entre saúde mental e deficiência energética relativa (MOUNTJOY et al., 2023)</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Mecanismos</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Cortisol, sono e humor raramente medidos em conjunto</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Medidas combinadas de marcadores endócrinos, sono e humor em semanas congestionadas (LO et al., 2022; PANCAR et al., 2026)</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Dinâmica da equipe</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Humor analisado no nível individual</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Modelos multinível com emoções coletivas e contágio emocional (RUMBOLD et al., 2022)</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Treino psicológico</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Habilidades psicológicas e mindfulness pouco testados</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Ensaios com treino de habilidades psicológicas ou mindfulness e o humor como desfecho (DOMÍNGUEZ GONZÁLEZ et al., 2024; ZHANG et al., 2025)</w:t>
            </w:r>
          </w:p>
        </w:tc>
      </w:tr>
      <w:tr>
        <w:tc>
          <w:tcPr>
            <w:tcW w:w="1927" w:type="dxa"/>
            <w:tcBorders>
              <w:top w:val="single" w:sz="4" w:color="000000"/>
              <w:left w:val="nil"/>
              <w:bottom w:val="single" w:sz="8" w:color="000000"/>
              <w:right w:val="nil"/>
            </w:tcBorders>
          </w:tcPr>
          <w:p>
            <w:pPr>
              <w:spacing w:lineRule="exact" w:line="220" w:before="20" w:after="20"/>
              <w:jc w:val="left"/>
            </w:pPr>
            <w:r>
              <w:rPr>
                <w:rFonts w:ascii="Times New Roman" w:hAnsi="Times New Roman"/>
                <w:i w:val="0"/>
                <w:sz w:val="19"/>
              </w:rPr>
              <w:t>Desempenho em jogo</w:t>
            </w:r>
          </w:p>
        </w:tc>
        <w:tc>
          <w:tcPr>
            <w:tcW w:w="3175" w:type="dxa"/>
            <w:tcBorders>
              <w:top w:val="single" w:sz="4" w:color="000000"/>
              <w:left w:val="nil"/>
              <w:bottom w:val="single" w:sz="8" w:color="000000"/>
              <w:right w:val="nil"/>
            </w:tcBorders>
          </w:tcPr>
          <w:p>
            <w:pPr>
              <w:spacing w:lineRule="exact" w:line="220" w:before="20" w:after="20"/>
              <w:jc w:val="left"/>
            </w:pPr>
            <w:r>
              <w:rPr>
                <w:rFonts w:ascii="Times New Roman" w:hAnsi="Times New Roman"/>
                <w:i w:val="0"/>
                <w:sz w:val="19"/>
              </w:rPr>
              <w:t>Poucos estudos relacionaram humor e rendimento</w:t>
            </w:r>
          </w:p>
        </w:tc>
        <w:tc>
          <w:tcPr>
            <w:tcW w:w="3969" w:type="dxa"/>
            <w:tcBorders>
              <w:top w:val="single" w:sz="4" w:color="000000"/>
              <w:left w:val="nil"/>
              <w:bottom w:val="single" w:sz="8" w:color="000000"/>
              <w:right w:val="nil"/>
            </w:tcBorders>
          </w:tcPr>
          <w:p>
            <w:pPr>
              <w:spacing w:lineRule="exact" w:line="220" w:before="20" w:after="20"/>
              <w:jc w:val="left"/>
            </w:pPr>
            <w:r>
              <w:rPr>
                <w:rFonts w:ascii="Times New Roman" w:hAnsi="Times New Roman"/>
                <w:i w:val="0"/>
                <w:sz w:val="19"/>
              </w:rPr>
              <w:t>Humor medido por instrumento validado e indicadores de jogo sob pressão</w:t>
            </w:r>
          </w:p>
        </w:tc>
      </w:tr>
    </w:tbl>
    <w:p>
      <w:pPr>
        <w:spacing w:before="40" w:after="160" w:line="240" w:lineRule="auto"/>
        <w:ind w:left="0" w:firstLine="0"/>
        <w:jc w:val="left"/>
      </w:pPr>
      <w:r>
        <w:rPr>
          <w:rFonts w:ascii="Times New Roman" w:hAnsi="Times New Roman"/>
          <w:i w:val="0"/>
          <w:sz w:val="20"/>
        </w:rPr>
        <w:t>Fonte: elaborada pelos autores (2026).</w:t>
      </w:r>
    </w:p>
    <w:p>
      <w:pPr>
        <w:spacing w:before="0" w:after="0" w:line="360" w:lineRule="auto"/>
        <w:ind w:left="0" w:firstLine="709"/>
        <w:jc w:val="both"/>
      </w:pPr>
      <w:r>
        <w:rPr>
          <w:rFonts w:ascii="Times New Roman" w:hAnsi="Times New Roman"/>
          <w:i w:val="0"/>
          <w:sz w:val="24"/>
        </w:rPr>
        <w:t>Além das lacunas da Tabela 7, convém que os estudos futuros adotem instrumentos comuns a outras modalidades coletivas, o que permitiria comparar o handebol com o futebol, o basquetebol e o voleibol (BIRD et al., 2025; REBELO et al., 2024), e que considerem o calendário congestionado e a variação individual da carga como possíveis moderadores do humor (BÜCHEL; DÖRING; BAUMEISTER, 2026).</w:t>
      </w:r>
    </w:p>
    <w:p>
      <w:pPr>
        <w:keepNext/>
        <w:spacing w:before="240" w:after="120" w:line="360" w:lineRule="auto"/>
        <w:ind w:left="0" w:firstLine="0"/>
        <w:jc w:val="left"/>
      </w:pPr>
      <w:r>
        <w:rPr>
          <w:rFonts w:ascii="Times New Roman" w:hAnsi="Times New Roman"/>
          <w:b/>
          <w:sz w:val="24"/>
        </w:rPr>
        <w:t>4.9 Implicações práticas</w:t>
      </w:r>
    </w:p>
    <w:p>
      <w:pPr>
        <w:spacing w:before="0" w:after="0" w:line="360" w:lineRule="auto"/>
        <w:ind w:left="0" w:firstLine="709"/>
        <w:jc w:val="both"/>
      </w:pPr>
      <w:r>
        <w:rPr>
          <w:rFonts w:ascii="Times New Roman" w:hAnsi="Times New Roman"/>
          <w:i w:val="0"/>
          <w:sz w:val="24"/>
        </w:rPr>
        <w:t>Para técnicos e preparadores, as evidências sustentam o monitoramento breve e regular do humor, com instrumento validado e em horário fixo (DE MIRANDA ROHLFS et al., 2024; TERRY; PARSONS-SMITH, 2021), de preferência por sessão (BUGTEN et al., 2026) ou por registros momentâneos (MAJER et al., 2026). Recomendam-se ainda a atenção às dimensões de fadiga e de vigor ao longo da temporada (BRESCIANI et al., 2010; PADILHAS et al., 2018) e o uso deliberado do encorajamento verbal individual nas sessões (AYDI et al., 2025; SAHLI et al., 2022, 2024). A comunicação negativa deve ser empregada com cautela, dada sua repercussão sobre o afeto (SOTO; GARCÍA-HERRERO; CARCEDO, 2020), e o clima orientado à tarefa merece estímulo, pois se associou a menos sintomas de ansiedade, depressão e estresse em jovens handebolistas (GREBLO JURAKIĆ; BOJIĆ-ĆAĆIĆ; LJUBIČIĆ, 2026) e a mais afeto positivo (LOCHBAUM; SISNEROS, 2024). As variações associadas ao horário do dia e ao ciclo menstrual devem ser consideradas no planejamento de treinos e testes (ESSID et al., 2022; LISENCHUK et al., 2019). A educação e a triagem do sono (WALSH et al., 2021) e a música autosselecionada antes da tarefa (DELLELI et al., 2023) têm respaldo na literatura geral, mas não foram testadas no handebol. Nas semanas com dois ou mais jogos, o monitoramento deve ser individual, pois a carga acumulada varia entre jogadores e funções (BÜCHEL; DÖRING; BAUMEISTER, 2026), e o sono merece registro sistemático em viagens e torneios (LO et al., 2022). Após os jogos, técnicos e atletas devem atentar ao clima emocional da equipe, sobretudo quando negativo, dada sua associação com as emoções de cada jogador (RUMBOLD et al., 2022). Programas de habilidades psicológicas e de mindfulness, com resultados favoráveis sobre a ansiedade, a autoconfiança e a regulação emocional em outras modalidades (DOMÍNGUEZ GONZÁLEZ et al., 2024; LI; LU; FANG, 2026; ZHANG et al., 2025), podem complementar a comunicação positiva do treinador, desde que avaliados na rotina das equipes de handebol.</w:t>
      </w:r>
    </w:p>
    <w:p>
      <w:pPr>
        <w:keepNext/>
        <w:spacing w:before="240" w:after="240" w:line="360" w:lineRule="auto"/>
        <w:ind w:left="0" w:firstLine="0"/>
        <w:jc w:val="left"/>
      </w:pPr>
      <w:r>
        <w:rPr>
          <w:rFonts w:ascii="Times New Roman" w:hAnsi="Times New Roman"/>
          <w:b/>
          <w:sz w:val="24"/>
        </w:rPr>
        <w:t>5 CONCLUSÃO</w:t>
      </w:r>
    </w:p>
    <w:p>
      <w:pPr>
        <w:spacing w:before="0" w:after="0" w:line="360" w:lineRule="auto"/>
        <w:ind w:left="0" w:firstLine="709"/>
        <w:jc w:val="both"/>
      </w:pPr>
      <w:r>
        <w:rPr>
          <w:rFonts w:ascii="Times New Roman" w:hAnsi="Times New Roman"/>
          <w:i w:val="0"/>
          <w:sz w:val="24"/>
        </w:rPr>
        <w:t>A literatura sobre os estados de humor em atletas de handebol reúne 36 estudos, publicados entre 2008 e 2026 e concentrados na Espanha, na Tunísia e no Brasil, com amostras pequenas e predominantemente femininas (QP1). O POMS e suas versões dominam a medida, aplicada em momentos nem sempre declarados (QP2). O humor variou com a carga, com o resultado e o contexto do jogo, com o horário do dia e, de modo divergente, com a fase do ciclo menstrual; o prazer no treino acompanhou a carga física, e o humor associou-se às habilidades psicológicas, à autoconfiança e ao convívio social (QP3). O encorajamento verbal e o feedback modificaram o humor durante a prática, ao passo que as intervenções nutricionais produziram efeitos inconsistentes (QP4). A qualidade metodológica foi alta em menos da metade dos estudos, e a heterogeneidade de instrumentos e de momentos impediu a síntese quantitativa (QP5). Esses achados convergem, em grande parte, com a literatura recente de outras modalidades coletivas, mas os mecanismos plausíveis, como a ativação endócrina, o sono, a carga acumulada e o contágio emocional, permanecem sem teste direto na modalidade. Para a prática, o monitoramento regular do humor e a comunicação positiva do treinador são as condutas com maior respaldo. Para a pesquisa, a prioridade são estudos com medidas repetidas por sessão, momento declarado, análise por sexo e delineamentos experimentais conduzidos na rotina das equipes, incluídas intervenções de sono e de clima motivacional.</w:t>
      </w:r>
    </w:p>
    <w:p>
      <w:pPr>
        <w:keepNext/>
        <w:spacing w:before="240" w:after="240" w:line="360" w:lineRule="auto"/>
        <w:ind w:left="0" w:firstLine="0"/>
        <w:jc w:val="center"/>
      </w:pPr>
      <w:r>
        <w:rPr>
          <w:rFonts w:ascii="Times New Roman" w:hAnsi="Times New Roman"/>
          <w:b/>
          <w:sz w:val="24"/>
        </w:rPr>
        <w:t>REFERÊNCIAS</w:t>
      </w:r>
    </w:p>
    <w:p>
      <w:pPr>
        <w:spacing w:before="0" w:after="120" w:line="240" w:lineRule="auto"/>
        <w:ind w:left="0" w:firstLine="0"/>
        <w:jc w:val="left"/>
      </w:pPr>
      <w:r>
        <w:rPr>
          <w:rFonts w:ascii="Times New Roman" w:hAnsi="Times New Roman"/>
          <w:i w:val="0"/>
          <w:sz w:val="24"/>
        </w:rPr>
        <w:t xml:space="preserve">AFONSO, P. et al. Shaping Training Load, Technical–Tactical Behaviour, and Well-Being in Football: A Systematic Review. </w:t>
      </w:r>
      <w:r>
        <w:rPr>
          <w:rFonts w:ascii="Times New Roman" w:hAnsi="Times New Roman"/>
          <w:b/>
          <w:sz w:val="24"/>
        </w:rPr>
        <w:t>Sports</w:t>
      </w:r>
      <w:r>
        <w:rPr>
          <w:rFonts w:ascii="Times New Roman" w:hAnsi="Times New Roman"/>
          <w:i w:val="0"/>
          <w:sz w:val="24"/>
        </w:rPr>
        <w:t>, v. 13, n. 8, e244, 2025. DOI: https://doi.org/10.3390/sports13080244.</w:t>
      </w:r>
    </w:p>
    <w:p>
      <w:pPr>
        <w:spacing w:before="0" w:after="120" w:line="240" w:lineRule="auto"/>
        <w:ind w:left="0" w:firstLine="0"/>
        <w:jc w:val="left"/>
      </w:pPr>
      <w:r>
        <w:rPr>
          <w:rFonts w:ascii="Times New Roman" w:hAnsi="Times New Roman"/>
          <w:i w:val="0"/>
          <w:sz w:val="24"/>
        </w:rPr>
        <w:t xml:space="preserve">AKROUSH, S. et al. Psychological mood patterns among Jordanian handball players. </w:t>
      </w:r>
      <w:r>
        <w:rPr>
          <w:rFonts w:ascii="Times New Roman" w:hAnsi="Times New Roman"/>
          <w:b/>
          <w:sz w:val="24"/>
        </w:rPr>
        <w:t>Retos</w:t>
      </w:r>
      <w:r>
        <w:rPr>
          <w:rFonts w:ascii="Times New Roman" w:hAnsi="Times New Roman"/>
          <w:i w:val="0"/>
          <w:sz w:val="24"/>
        </w:rPr>
        <w:t>, n. 62, p. 285-294, 2025. DOI: https://doi.org/10.47197/retos.v62.109407.</w:t>
      </w:r>
    </w:p>
    <w:p>
      <w:pPr>
        <w:spacing w:before="0" w:after="120" w:line="240" w:lineRule="auto"/>
        <w:ind w:left="0" w:firstLine="0"/>
        <w:jc w:val="left"/>
      </w:pPr>
      <w:r>
        <w:rPr>
          <w:rFonts w:ascii="Times New Roman" w:hAnsi="Times New Roman"/>
          <w:i w:val="0"/>
          <w:sz w:val="24"/>
        </w:rPr>
        <w:t xml:space="preserve">AL-WATTAR, N. S.; AL-BADRANE, M. M. Effect of a training program by using self-regulation strategies of mood for handball players. </w:t>
      </w:r>
      <w:r>
        <w:rPr>
          <w:rFonts w:ascii="Times New Roman" w:hAnsi="Times New Roman"/>
          <w:b/>
          <w:sz w:val="24"/>
        </w:rPr>
        <w:t>Al-Rafidain Journal for Sport Sciences</w:t>
      </w:r>
      <w:r>
        <w:rPr>
          <w:rFonts w:ascii="Times New Roman" w:hAnsi="Times New Roman"/>
          <w:i w:val="0"/>
          <w:sz w:val="24"/>
        </w:rPr>
        <w:t>, v. 20, n. 64, p. 396-444, 2014. DOI: https://doi.org/10.33899/rajsport.2014.81916.</w:t>
      </w:r>
    </w:p>
    <w:p>
      <w:pPr>
        <w:spacing w:before="0" w:after="120" w:line="240" w:lineRule="auto"/>
        <w:ind w:left="0" w:firstLine="0"/>
        <w:jc w:val="left"/>
      </w:pPr>
      <w:r>
        <w:rPr>
          <w:rFonts w:ascii="Times New Roman" w:hAnsi="Times New Roman"/>
          <w:i w:val="0"/>
          <w:sz w:val="24"/>
        </w:rPr>
        <w:t xml:space="preserve">ASSUNÇÃO CARVALHO, L. C. D. S. et al. Syzygium cumini Nectar Supplementation Reduced Biomarkers of Oxidative Stress, Muscle Damage, and Improved Psychological Response in Highly Trained Young Handball Players. </w:t>
      </w:r>
      <w:r>
        <w:rPr>
          <w:rFonts w:ascii="Times New Roman" w:hAnsi="Times New Roman"/>
          <w:b/>
          <w:sz w:val="24"/>
        </w:rPr>
        <w:t>Frontiers in Physiology</w:t>
      </w:r>
      <w:r>
        <w:rPr>
          <w:rFonts w:ascii="Times New Roman" w:hAnsi="Times New Roman"/>
          <w:i w:val="0"/>
          <w:sz w:val="24"/>
        </w:rPr>
        <w:t>, v. 9, e1508, 2018. DOI: https://doi.org/10.3389/fphys.2018.01508.</w:t>
      </w:r>
    </w:p>
    <w:p>
      <w:pPr>
        <w:spacing w:before="0" w:after="120" w:line="240" w:lineRule="auto"/>
        <w:ind w:left="0" w:firstLine="0"/>
        <w:jc w:val="left"/>
      </w:pPr>
      <w:r>
        <w:rPr>
          <w:rFonts w:ascii="Times New Roman" w:hAnsi="Times New Roman"/>
          <w:i w:val="0"/>
          <w:sz w:val="24"/>
        </w:rPr>
        <w:t xml:space="preserve">AYDI, B. et al. Empowering Obese Children in Physical Education: Exploring the Influence of Verbal Encouragement on Games Intensity, Mood States, and Physical Enjoyment during Passing Games. </w:t>
      </w:r>
      <w:r>
        <w:rPr>
          <w:rFonts w:ascii="Times New Roman" w:hAnsi="Times New Roman"/>
          <w:b/>
          <w:sz w:val="24"/>
        </w:rPr>
        <w:t>PLOS ONE</w:t>
      </w:r>
      <w:r>
        <w:rPr>
          <w:rFonts w:ascii="Times New Roman" w:hAnsi="Times New Roman"/>
          <w:i w:val="0"/>
          <w:sz w:val="24"/>
        </w:rPr>
        <w:t>, v. 20, n. 4, e0319414, 2025. DOI: https://doi.org/10.1371/journal.pone.0319414.</w:t>
      </w:r>
    </w:p>
    <w:p>
      <w:pPr>
        <w:spacing w:before="0" w:after="120" w:line="240" w:lineRule="auto"/>
        <w:ind w:left="0" w:firstLine="0"/>
        <w:jc w:val="left"/>
      </w:pPr>
      <w:r>
        <w:rPr>
          <w:rFonts w:ascii="Times New Roman" w:hAnsi="Times New Roman"/>
          <w:i w:val="0"/>
          <w:sz w:val="24"/>
        </w:rPr>
        <w:t xml:space="preserve">BASTOS, V. et al. Assessing affective valence and activation in resistance training with the feeling scale and the felt arousal scale: A systematic review. </w:t>
      </w:r>
      <w:r>
        <w:rPr>
          <w:rFonts w:ascii="Times New Roman" w:hAnsi="Times New Roman"/>
          <w:b/>
          <w:sz w:val="24"/>
        </w:rPr>
        <w:t>PLOS ONE</w:t>
      </w:r>
      <w:r>
        <w:rPr>
          <w:rFonts w:ascii="Times New Roman" w:hAnsi="Times New Roman"/>
          <w:i w:val="0"/>
          <w:sz w:val="24"/>
        </w:rPr>
        <w:t>, v. 18, n. 11, e0294529, 2023. DOI: https://doi.org/10.1371/journal.pone.0294529.</w:t>
      </w:r>
    </w:p>
    <w:p>
      <w:pPr>
        <w:spacing w:before="0" w:after="120" w:line="240" w:lineRule="auto"/>
        <w:ind w:left="0" w:firstLine="0"/>
        <w:jc w:val="left"/>
      </w:pPr>
      <w:r>
        <w:rPr>
          <w:rFonts w:ascii="Times New Roman" w:hAnsi="Times New Roman"/>
          <w:i w:val="0"/>
          <w:sz w:val="24"/>
        </w:rPr>
        <w:t xml:space="preserve">BATALLA-GAVALDA, A. et al. Ecological Validity of Maximal Exercise Tests to Simulate Competitive Demands in Amateur Female Handball. </w:t>
      </w:r>
      <w:r>
        <w:rPr>
          <w:rFonts w:ascii="Times New Roman" w:hAnsi="Times New Roman"/>
          <w:b/>
          <w:sz w:val="24"/>
        </w:rPr>
        <w:t>Acta Kinesiologica</w:t>
      </w:r>
      <w:r>
        <w:rPr>
          <w:rFonts w:ascii="Times New Roman" w:hAnsi="Times New Roman"/>
          <w:i w:val="0"/>
          <w:sz w:val="24"/>
        </w:rPr>
        <w:t>, p. 34-42, 2026. DOI: https://doi.org/10.51371/issn.1840-2976.651.</w:t>
      </w:r>
    </w:p>
    <w:p>
      <w:pPr>
        <w:spacing w:before="0" w:after="120" w:line="240" w:lineRule="auto"/>
        <w:ind w:left="0" w:firstLine="0"/>
        <w:jc w:val="left"/>
      </w:pPr>
      <w:r>
        <w:rPr>
          <w:rFonts w:ascii="Times New Roman" w:hAnsi="Times New Roman"/>
          <w:i w:val="0"/>
          <w:sz w:val="24"/>
        </w:rPr>
        <w:t xml:space="preserve">BATALLA-GAVALDA, A. et al. Mayor validez ecológica del Game-Based Performance Test en comparación con el Yo-Yo IR1 en jugadoras de balonmano amateur. </w:t>
      </w:r>
      <w:r>
        <w:rPr>
          <w:rFonts w:ascii="Times New Roman" w:hAnsi="Times New Roman"/>
          <w:b/>
          <w:sz w:val="24"/>
        </w:rPr>
        <w:t>Journal of Sport and Health Research</w:t>
      </w:r>
      <w:r>
        <w:rPr>
          <w:rFonts w:ascii="Times New Roman" w:hAnsi="Times New Roman"/>
          <w:i w:val="0"/>
          <w:sz w:val="24"/>
        </w:rPr>
        <w:t>, v. 17, n. Supl. 2, p. 178-196, 2025. DOI: https://doi.org/10.58727/jshr.118640.</w:t>
      </w:r>
    </w:p>
    <w:p>
      <w:pPr>
        <w:spacing w:before="0" w:after="120" w:line="240" w:lineRule="auto"/>
        <w:ind w:left="0" w:firstLine="0"/>
        <w:jc w:val="left"/>
      </w:pPr>
      <w:r>
        <w:rPr>
          <w:rFonts w:ascii="Times New Roman" w:hAnsi="Times New Roman"/>
          <w:i w:val="0"/>
          <w:sz w:val="24"/>
        </w:rPr>
        <w:t xml:space="preserve">BATALLA-GAVALDA, A. et al. Variations in the Mood States during the Different Phases of COVID-19’s Lockdown in Young Athletes. </w:t>
      </w:r>
      <w:r>
        <w:rPr>
          <w:rFonts w:ascii="Times New Roman" w:hAnsi="Times New Roman"/>
          <w:b/>
          <w:sz w:val="24"/>
        </w:rPr>
        <w:t>International Journal of Environmental Research and Public Health</w:t>
      </w:r>
      <w:r>
        <w:rPr>
          <w:rFonts w:ascii="Times New Roman" w:hAnsi="Times New Roman"/>
          <w:i w:val="0"/>
          <w:sz w:val="24"/>
        </w:rPr>
        <w:t>, v. 18, n. 17, e9326, 2021. DOI: https://doi.org/10.3390/ijerph18179326.</w:t>
      </w:r>
    </w:p>
    <w:p>
      <w:pPr>
        <w:spacing w:before="0" w:after="120" w:line="240" w:lineRule="auto"/>
        <w:ind w:left="0" w:firstLine="0"/>
        <w:jc w:val="left"/>
      </w:pPr>
      <w:r>
        <w:rPr>
          <w:rFonts w:ascii="Times New Roman" w:hAnsi="Times New Roman"/>
          <w:i w:val="0"/>
          <w:sz w:val="24"/>
        </w:rPr>
        <w:t xml:space="preserve">BEEDIE, C. J.; TERRY, P. C.; LANE, A. M. The profile of mood states and athletic performance: Two meta-analyses. </w:t>
      </w:r>
      <w:r>
        <w:rPr>
          <w:rFonts w:ascii="Times New Roman" w:hAnsi="Times New Roman"/>
          <w:b/>
          <w:sz w:val="24"/>
        </w:rPr>
        <w:t>Journal of Applied Sport Psychology</w:t>
      </w:r>
      <w:r>
        <w:rPr>
          <w:rFonts w:ascii="Times New Roman" w:hAnsi="Times New Roman"/>
          <w:i w:val="0"/>
          <w:sz w:val="24"/>
        </w:rPr>
        <w:t>, v. 12, n. 1, p. 49-68, 2000. DOI: https://doi.org/10.1080/10413200008404213.</w:t>
      </w:r>
    </w:p>
    <w:p>
      <w:pPr>
        <w:spacing w:before="0" w:after="120" w:line="240" w:lineRule="auto"/>
        <w:ind w:left="0" w:firstLine="0"/>
        <w:jc w:val="left"/>
      </w:pPr>
      <w:r>
        <w:rPr>
          <w:rFonts w:ascii="Times New Roman" w:hAnsi="Times New Roman"/>
          <w:i w:val="0"/>
          <w:sz w:val="24"/>
        </w:rPr>
        <w:t xml:space="preserve">BEEDIE, C.; TERRY, P.; LANE, A. Distinctions between emotion and mood. </w:t>
      </w:r>
      <w:r>
        <w:rPr>
          <w:rFonts w:ascii="Times New Roman" w:hAnsi="Times New Roman"/>
          <w:b/>
          <w:sz w:val="24"/>
        </w:rPr>
        <w:t>Cognition and Emotion</w:t>
      </w:r>
      <w:r>
        <w:rPr>
          <w:rFonts w:ascii="Times New Roman" w:hAnsi="Times New Roman"/>
          <w:i w:val="0"/>
          <w:sz w:val="24"/>
        </w:rPr>
        <w:t>, v. 19, n. 6, p. 847-878, 2005. DOI: https://doi.org/10.1080/02699930541000057.</w:t>
      </w:r>
    </w:p>
    <w:p>
      <w:pPr>
        <w:spacing w:before="0" w:after="120" w:line="240" w:lineRule="auto"/>
        <w:ind w:left="0" w:firstLine="0"/>
        <w:jc w:val="left"/>
      </w:pPr>
      <w:r>
        <w:rPr>
          <w:rFonts w:ascii="Times New Roman" w:hAnsi="Times New Roman"/>
          <w:i w:val="0"/>
          <w:sz w:val="24"/>
        </w:rPr>
        <w:t xml:space="preserve">BIRD, S. P. et al. Wellness, Mood, Sleep, and Performance in a Women's National Basketball Team during International Competition. </w:t>
      </w:r>
      <w:r>
        <w:rPr>
          <w:rFonts w:ascii="Times New Roman" w:hAnsi="Times New Roman"/>
          <w:b/>
          <w:sz w:val="24"/>
        </w:rPr>
        <w:t>Journal of Human Kinetics</w:t>
      </w:r>
      <w:r>
        <w:rPr>
          <w:rFonts w:ascii="Times New Roman" w:hAnsi="Times New Roman"/>
          <w:i w:val="0"/>
          <w:sz w:val="24"/>
        </w:rPr>
        <w:t>, v. 96, p. 163-175, 2025. DOI: https://doi.org/10.5114/jhk/200117.</w:t>
      </w:r>
    </w:p>
    <w:p>
      <w:pPr>
        <w:spacing w:before="0" w:after="120" w:line="240" w:lineRule="auto"/>
        <w:ind w:left="0" w:firstLine="0"/>
        <w:jc w:val="left"/>
      </w:pPr>
      <w:r>
        <w:rPr>
          <w:rFonts w:ascii="Times New Roman" w:hAnsi="Times New Roman"/>
          <w:i w:val="0"/>
          <w:sz w:val="24"/>
        </w:rPr>
        <w:t xml:space="preserve">BRESCIANI, G. et al. Monitoring biological and psychological measures throughout an entire season in male handball players. </w:t>
      </w:r>
      <w:r>
        <w:rPr>
          <w:rFonts w:ascii="Times New Roman" w:hAnsi="Times New Roman"/>
          <w:b/>
          <w:sz w:val="24"/>
        </w:rPr>
        <w:t>European Journal of Sport Science</w:t>
      </w:r>
      <w:r>
        <w:rPr>
          <w:rFonts w:ascii="Times New Roman" w:hAnsi="Times New Roman"/>
          <w:i w:val="0"/>
          <w:sz w:val="24"/>
        </w:rPr>
        <w:t>, v. 10, n. 6, p. 377-384, 2010. DOI: https://doi.org/10.1080/17461391003699070.</w:t>
      </w:r>
    </w:p>
    <w:p>
      <w:pPr>
        <w:spacing w:before="0" w:after="120" w:line="240" w:lineRule="auto"/>
        <w:ind w:left="0" w:firstLine="0"/>
        <w:jc w:val="left"/>
      </w:pPr>
      <w:r>
        <w:rPr>
          <w:rFonts w:ascii="Times New Roman" w:hAnsi="Times New Roman"/>
          <w:i w:val="0"/>
          <w:sz w:val="24"/>
        </w:rPr>
        <w:t xml:space="preserve">BÜCHEL, D.; DÖRING, M.; BAUMEISTER, J. Inter-individual differences in weekly training load in international-level handball: the effect of congested match schedules. </w:t>
      </w:r>
      <w:r>
        <w:rPr>
          <w:rFonts w:ascii="Times New Roman" w:hAnsi="Times New Roman"/>
          <w:b/>
          <w:sz w:val="24"/>
        </w:rPr>
        <w:t>Frontiers in Sports and Active Living</w:t>
      </w:r>
      <w:r>
        <w:rPr>
          <w:rFonts w:ascii="Times New Roman" w:hAnsi="Times New Roman"/>
          <w:i w:val="0"/>
          <w:sz w:val="24"/>
        </w:rPr>
        <w:t>, v. 7, e1605750, 2026. DOI: https://doi.org/10.3389/fspor.2025.1605750.</w:t>
      </w:r>
    </w:p>
    <w:p>
      <w:pPr>
        <w:spacing w:before="0" w:after="120" w:line="240" w:lineRule="auto"/>
        <w:ind w:left="0" w:firstLine="0"/>
        <w:jc w:val="left"/>
      </w:pPr>
      <w:r>
        <w:rPr>
          <w:rFonts w:ascii="Times New Roman" w:hAnsi="Times New Roman"/>
          <w:i w:val="0"/>
          <w:sz w:val="24"/>
        </w:rPr>
        <w:t xml:space="preserve">BUCHHEIT, M. Sensitivity of monthly heart rate and psychometric measures for monitoring physical performance in highly trained young handball players. </w:t>
      </w:r>
      <w:r>
        <w:rPr>
          <w:rFonts w:ascii="Times New Roman" w:hAnsi="Times New Roman"/>
          <w:b/>
          <w:sz w:val="24"/>
        </w:rPr>
        <w:t>International Journal of Sports Medicine</w:t>
      </w:r>
      <w:r>
        <w:rPr>
          <w:rFonts w:ascii="Times New Roman" w:hAnsi="Times New Roman"/>
          <w:i w:val="0"/>
          <w:sz w:val="24"/>
        </w:rPr>
        <w:t>, v. 36, n. 5, p. 351-356, 2015. DOI: https://doi.org/10.1055/s-0034-1385882.</w:t>
      </w:r>
    </w:p>
    <w:p>
      <w:pPr>
        <w:spacing w:before="0" w:after="120" w:line="240" w:lineRule="auto"/>
        <w:ind w:left="0" w:firstLine="0"/>
        <w:jc w:val="left"/>
      </w:pPr>
      <w:r>
        <w:rPr>
          <w:rFonts w:ascii="Times New Roman" w:hAnsi="Times New Roman"/>
          <w:i w:val="0"/>
          <w:sz w:val="24"/>
        </w:rPr>
        <w:t xml:space="preserve">BUGTEN, J. B. et al. Youth players basic need satisfaction, enjoyment and pleasure within daily team sport training sessions, and the relationships with physical load engagement: an intensive within-person longitudinal study. </w:t>
      </w:r>
      <w:r>
        <w:rPr>
          <w:rFonts w:ascii="Times New Roman" w:hAnsi="Times New Roman"/>
          <w:b/>
          <w:sz w:val="24"/>
        </w:rPr>
        <w:t>Research Square</w:t>
      </w:r>
      <w:r>
        <w:rPr>
          <w:rFonts w:ascii="Times New Roman" w:hAnsi="Times New Roman"/>
          <w:i w:val="0"/>
          <w:sz w:val="24"/>
        </w:rPr>
        <w:t>, 2026. Preprint. DOI: https://doi.org/10.21203/rs.3.rs-8338987/v1.</w:t>
      </w:r>
    </w:p>
    <w:p>
      <w:pPr>
        <w:spacing w:before="0" w:after="120" w:line="240" w:lineRule="auto"/>
        <w:ind w:left="0" w:firstLine="0"/>
        <w:jc w:val="left"/>
      </w:pPr>
      <w:r>
        <w:rPr>
          <w:rFonts w:ascii="Times New Roman" w:hAnsi="Times New Roman"/>
          <w:i w:val="0"/>
          <w:sz w:val="24"/>
        </w:rPr>
        <w:t xml:space="preserve">CAMPBELL, M. et al. Synthesis without meta-analysis (SWiM) in systematic reviews: reporting guideline. </w:t>
      </w:r>
      <w:r>
        <w:rPr>
          <w:rFonts w:ascii="Times New Roman" w:hAnsi="Times New Roman"/>
          <w:b/>
          <w:sz w:val="24"/>
        </w:rPr>
        <w:t>BMJ</w:t>
      </w:r>
      <w:r>
        <w:rPr>
          <w:rFonts w:ascii="Times New Roman" w:hAnsi="Times New Roman"/>
          <w:i w:val="0"/>
          <w:sz w:val="24"/>
        </w:rPr>
        <w:t>, l6890, 2020. DOI: https://doi.org/10.1136/bmj.l6890.</w:t>
      </w:r>
    </w:p>
    <w:p>
      <w:pPr>
        <w:spacing w:before="0" w:after="120" w:line="240" w:lineRule="auto"/>
        <w:ind w:left="0" w:firstLine="0"/>
        <w:jc w:val="left"/>
      </w:pPr>
      <w:r>
        <w:rPr>
          <w:rFonts w:ascii="Times New Roman" w:hAnsi="Times New Roman"/>
          <w:i w:val="0"/>
          <w:sz w:val="24"/>
        </w:rPr>
        <w:t xml:space="preserve">CLEVELAND, W. S. Robust Locally Weighted Regression and Smoothing Scatterplots. </w:t>
      </w:r>
      <w:r>
        <w:rPr>
          <w:rFonts w:ascii="Times New Roman" w:hAnsi="Times New Roman"/>
          <w:b/>
          <w:sz w:val="24"/>
        </w:rPr>
        <w:t>Journal of the American Statistical Association</w:t>
      </w:r>
      <w:r>
        <w:rPr>
          <w:rFonts w:ascii="Times New Roman" w:hAnsi="Times New Roman"/>
          <w:i w:val="0"/>
          <w:sz w:val="24"/>
        </w:rPr>
        <w:t>, v. 74, n. 368, p. 829-836, 1979. DOI: https://doi.org/10.1080/01621459.1979.10481038.</w:t>
      </w:r>
    </w:p>
    <w:p>
      <w:pPr>
        <w:spacing w:before="0" w:after="120" w:line="240" w:lineRule="auto"/>
        <w:ind w:left="0" w:firstLine="0"/>
        <w:jc w:val="left"/>
      </w:pPr>
      <w:r>
        <w:rPr>
          <w:rFonts w:ascii="Times New Roman" w:hAnsi="Times New Roman"/>
          <w:i w:val="0"/>
          <w:sz w:val="24"/>
        </w:rPr>
        <w:t xml:space="preserve">COHEN, J. A Coefficient of Agreement for Nominal Scales. </w:t>
      </w:r>
      <w:r>
        <w:rPr>
          <w:rFonts w:ascii="Times New Roman" w:hAnsi="Times New Roman"/>
          <w:b/>
          <w:sz w:val="24"/>
        </w:rPr>
        <w:t>Educational and Psychological Measurement</w:t>
      </w:r>
      <w:r>
        <w:rPr>
          <w:rFonts w:ascii="Times New Roman" w:hAnsi="Times New Roman"/>
          <w:i w:val="0"/>
          <w:sz w:val="24"/>
        </w:rPr>
        <w:t>, v. 20, n. 1, p. 37-46, 1960. DOI: https://doi.org/10.1177/001316446002000104.</w:t>
      </w:r>
    </w:p>
    <w:p>
      <w:pPr>
        <w:spacing w:before="0" w:after="120" w:line="240" w:lineRule="auto"/>
        <w:ind w:left="0" w:firstLine="0"/>
        <w:jc w:val="left"/>
      </w:pPr>
      <w:r>
        <w:rPr>
          <w:rFonts w:ascii="Times New Roman" w:hAnsi="Times New Roman"/>
          <w:i w:val="0"/>
          <w:sz w:val="24"/>
        </w:rPr>
        <w:t xml:space="preserve">CREWTHER, B. T. et al. Dose-response and time-lagged effect of daily training load on athlete well-being during an international rugby series. </w:t>
      </w:r>
      <w:r>
        <w:rPr>
          <w:rFonts w:ascii="Times New Roman" w:hAnsi="Times New Roman"/>
          <w:b/>
          <w:sz w:val="24"/>
        </w:rPr>
        <w:t>Biology of Sport</w:t>
      </w:r>
      <w:r>
        <w:rPr>
          <w:rFonts w:ascii="Times New Roman" w:hAnsi="Times New Roman"/>
          <w:i w:val="0"/>
          <w:sz w:val="24"/>
        </w:rPr>
        <w:t>, v. 42, n. 1, p. 39-45, 2025. DOI: https://doi.org/10.5114/biolsport.2025.139080.</w:t>
      </w:r>
    </w:p>
    <w:p>
      <w:pPr>
        <w:spacing w:before="0" w:after="120" w:line="240" w:lineRule="auto"/>
        <w:ind w:left="0" w:firstLine="0"/>
        <w:jc w:val="left"/>
      </w:pPr>
      <w:r>
        <w:rPr>
          <w:rFonts w:ascii="Times New Roman" w:hAnsi="Times New Roman"/>
          <w:i w:val="0"/>
          <w:sz w:val="24"/>
        </w:rPr>
        <w:t xml:space="preserve">DE MIRANDA ROHLFS, I. C. P. et al. Prevalence of Specific Mood Profile Clusters among Elite and Youth Athletes at a Brazilian Sports Club. </w:t>
      </w:r>
      <w:r>
        <w:rPr>
          <w:rFonts w:ascii="Times New Roman" w:hAnsi="Times New Roman"/>
          <w:b/>
          <w:sz w:val="24"/>
        </w:rPr>
        <w:t>Sports</w:t>
      </w:r>
      <w:r>
        <w:rPr>
          <w:rFonts w:ascii="Times New Roman" w:hAnsi="Times New Roman"/>
          <w:i w:val="0"/>
          <w:sz w:val="24"/>
        </w:rPr>
        <w:t>, v. 12, n. 7, e195, 2024. DOI: https://doi.org/10.3390/sports12070195.</w:t>
      </w:r>
    </w:p>
    <w:p>
      <w:pPr>
        <w:spacing w:before="0" w:after="120" w:line="240" w:lineRule="auto"/>
        <w:ind w:left="0" w:firstLine="0"/>
        <w:jc w:val="left"/>
      </w:pPr>
      <w:r>
        <w:rPr>
          <w:rFonts w:ascii="Times New Roman" w:hAnsi="Times New Roman"/>
          <w:i w:val="0"/>
          <w:sz w:val="24"/>
        </w:rPr>
        <w:t xml:space="preserve">DELLELI, S. et al. The effects of pre-task music on exercise performance and associated psycho-physiological responses: a systematic review with multilevel meta-analysis of controlled studies. </w:t>
      </w:r>
      <w:r>
        <w:rPr>
          <w:rFonts w:ascii="Times New Roman" w:hAnsi="Times New Roman"/>
          <w:b/>
          <w:sz w:val="24"/>
        </w:rPr>
        <w:t>Frontiers in Psychology</w:t>
      </w:r>
      <w:r>
        <w:rPr>
          <w:rFonts w:ascii="Times New Roman" w:hAnsi="Times New Roman"/>
          <w:i w:val="0"/>
          <w:sz w:val="24"/>
        </w:rPr>
        <w:t>, v. 14, e1293783, 2023. DOI: https://doi.org/10.3389/fpsyg.2023.1293783.</w:t>
      </w:r>
    </w:p>
    <w:p>
      <w:pPr>
        <w:spacing w:before="0" w:after="120" w:line="240" w:lineRule="auto"/>
        <w:ind w:left="0" w:firstLine="0"/>
        <w:jc w:val="left"/>
      </w:pPr>
      <w:r>
        <w:rPr>
          <w:rFonts w:ascii="Times New Roman" w:hAnsi="Times New Roman"/>
          <w:i w:val="0"/>
          <w:sz w:val="24"/>
        </w:rPr>
        <w:t xml:space="preserve">DIACHENKO, M.; TYSHCHENKO, V. Psycho-emotional regulation of female handball players during training. </w:t>
      </w:r>
      <w:r>
        <w:rPr>
          <w:rFonts w:ascii="Times New Roman" w:hAnsi="Times New Roman"/>
          <w:b/>
          <w:sz w:val="24"/>
        </w:rPr>
        <w:t>Scientific Journal of National Pedagogical Dragomanov University. Series 15: Scientific and Pedagogical Problems of Physical Culture (Physical Culture and Sports)</w:t>
      </w:r>
      <w:r>
        <w:rPr>
          <w:rFonts w:ascii="Times New Roman" w:hAnsi="Times New Roman"/>
          <w:i w:val="0"/>
          <w:sz w:val="24"/>
        </w:rPr>
        <w:t>, n. 5K(191), p. 66-70, 2025. DOI: https://doi.org/10.31392/udu-nc.series15.2025.05k(191).13.</w:t>
      </w:r>
    </w:p>
    <w:p>
      <w:pPr>
        <w:spacing w:before="0" w:after="120" w:line="240" w:lineRule="auto"/>
        <w:ind w:left="0" w:firstLine="0"/>
        <w:jc w:val="left"/>
      </w:pPr>
      <w:r>
        <w:rPr>
          <w:rFonts w:ascii="Times New Roman" w:hAnsi="Times New Roman"/>
          <w:i w:val="0"/>
          <w:sz w:val="24"/>
        </w:rPr>
        <w:t xml:space="preserve">DOMÍNGUEZ GONZÁLEZ, J. A. et al. Effects of a Psychological Intervention Program on Competitive Anxiety and Psychological Profile in Young Soccer Players. </w:t>
      </w:r>
      <w:r>
        <w:rPr>
          <w:rFonts w:ascii="Times New Roman" w:hAnsi="Times New Roman"/>
          <w:b/>
          <w:sz w:val="24"/>
        </w:rPr>
        <w:t>Perceptual and Motor Skills</w:t>
      </w:r>
      <w:r>
        <w:rPr>
          <w:rFonts w:ascii="Times New Roman" w:hAnsi="Times New Roman"/>
          <w:i w:val="0"/>
          <w:sz w:val="24"/>
        </w:rPr>
        <w:t>, v. 131, n. 4, p. 1233-1256, 2024. DOI: https://doi.org/10.1177/00315125241256410.</w:t>
      </w:r>
    </w:p>
    <w:p>
      <w:pPr>
        <w:spacing w:before="0" w:after="120" w:line="240" w:lineRule="auto"/>
        <w:ind w:left="0" w:firstLine="0"/>
        <w:jc w:val="left"/>
      </w:pPr>
      <w:r>
        <w:rPr>
          <w:rFonts w:ascii="Times New Roman" w:hAnsi="Times New Roman"/>
          <w:i w:val="0"/>
          <w:sz w:val="24"/>
        </w:rPr>
        <w:t xml:space="preserve">DORON, J.; MARTINENT, G. Dealing with elite sport competition demands: an exploration of the dynamic relationships between stress appraisal, coping, emotion, and performance during fencing matches. </w:t>
      </w:r>
      <w:r>
        <w:rPr>
          <w:rFonts w:ascii="Times New Roman" w:hAnsi="Times New Roman"/>
          <w:b/>
          <w:sz w:val="24"/>
        </w:rPr>
        <w:t>Cognition and Emotion</w:t>
      </w:r>
      <w:r>
        <w:rPr>
          <w:rFonts w:ascii="Times New Roman" w:hAnsi="Times New Roman"/>
          <w:i w:val="0"/>
          <w:sz w:val="24"/>
        </w:rPr>
        <w:t>, v. 35, n. 7, p. 1365-1381, 2021. DOI: https://doi.org/10.1080/02699931.2021.1960800.</w:t>
      </w:r>
    </w:p>
    <w:p>
      <w:pPr>
        <w:spacing w:before="0" w:after="120" w:line="240" w:lineRule="auto"/>
        <w:ind w:left="0" w:firstLine="0"/>
        <w:jc w:val="left"/>
      </w:pPr>
      <w:r>
        <w:rPr>
          <w:rFonts w:ascii="Times New Roman" w:hAnsi="Times New Roman"/>
          <w:i w:val="0"/>
          <w:sz w:val="24"/>
        </w:rPr>
        <w:t xml:space="preserve">DOWNES, M. J. et al. Development of a critical appraisal tool to assess the quality of cross-sectional studies (AXIS). </w:t>
      </w:r>
      <w:r>
        <w:rPr>
          <w:rFonts w:ascii="Times New Roman" w:hAnsi="Times New Roman"/>
          <w:b/>
          <w:sz w:val="24"/>
        </w:rPr>
        <w:t>BMJ Open</w:t>
      </w:r>
      <w:r>
        <w:rPr>
          <w:rFonts w:ascii="Times New Roman" w:hAnsi="Times New Roman"/>
          <w:i w:val="0"/>
          <w:sz w:val="24"/>
        </w:rPr>
        <w:t>, v. 6, n. 12, e011458, 2016. DOI: https://doi.org/10.1136/bmjopen-2016-011458.</w:t>
      </w:r>
    </w:p>
    <w:p>
      <w:pPr>
        <w:spacing w:before="0" w:after="120" w:line="240" w:lineRule="auto"/>
        <w:ind w:left="0" w:firstLine="0"/>
        <w:jc w:val="left"/>
      </w:pPr>
      <w:r>
        <w:rPr>
          <w:rFonts w:ascii="Times New Roman" w:hAnsi="Times New Roman"/>
          <w:i w:val="0"/>
          <w:sz w:val="24"/>
        </w:rPr>
        <w:t xml:space="preserve">DUIGNAN, C. et al. Single-Item Self-Report Measures of Team-Sport Athlete Wellbeing and Their Relationship With Training Load: A Systematic Review. </w:t>
      </w:r>
      <w:r>
        <w:rPr>
          <w:rFonts w:ascii="Times New Roman" w:hAnsi="Times New Roman"/>
          <w:b/>
          <w:sz w:val="24"/>
        </w:rPr>
        <w:t>Journal of Athletic Training</w:t>
      </w:r>
      <w:r>
        <w:rPr>
          <w:rFonts w:ascii="Times New Roman" w:hAnsi="Times New Roman"/>
          <w:i w:val="0"/>
          <w:sz w:val="24"/>
        </w:rPr>
        <w:t>, v. 55, n. 9, p. 944-953, 2020. DOI: https://doi.org/10.4085/1062-6050-0528.19.</w:t>
      </w:r>
    </w:p>
    <w:p>
      <w:pPr>
        <w:spacing w:before="0" w:after="120" w:line="240" w:lineRule="auto"/>
        <w:ind w:left="0" w:firstLine="0"/>
        <w:jc w:val="left"/>
      </w:pPr>
      <w:r>
        <w:rPr>
          <w:rFonts w:ascii="Times New Roman" w:hAnsi="Times New Roman"/>
          <w:i w:val="0"/>
          <w:sz w:val="24"/>
        </w:rPr>
        <w:t xml:space="preserve">DURAI, C.; ATHISAYARAJ, S. Comparison of mood states between handball and volleyball players. </w:t>
      </w:r>
      <w:r>
        <w:rPr>
          <w:rFonts w:ascii="Times New Roman" w:hAnsi="Times New Roman"/>
          <w:b/>
          <w:sz w:val="24"/>
        </w:rPr>
        <w:t>International Journal of Physiology, Nutrition and Physical Education</w:t>
      </w:r>
      <w:r>
        <w:rPr>
          <w:rFonts w:ascii="Times New Roman" w:hAnsi="Times New Roman"/>
          <w:i w:val="0"/>
          <w:sz w:val="24"/>
        </w:rPr>
        <w:t>, v. 3, n. 2, p. 43-44, 2018.</w:t>
      </w:r>
    </w:p>
    <w:p>
      <w:pPr>
        <w:spacing w:before="0" w:after="120" w:line="240" w:lineRule="auto"/>
        <w:ind w:left="0" w:firstLine="0"/>
        <w:jc w:val="left"/>
      </w:pPr>
      <w:r>
        <w:rPr>
          <w:rFonts w:ascii="Times New Roman" w:hAnsi="Times New Roman"/>
          <w:i w:val="0"/>
          <w:sz w:val="24"/>
        </w:rPr>
        <w:t xml:space="preserve">EKKEKAKIS, P.; BRAND, R. Affective responses to and automatic affective valuations of physical activity: Fifty years of progress on the seminal question in exercise psychology. </w:t>
      </w:r>
      <w:r>
        <w:rPr>
          <w:rFonts w:ascii="Times New Roman" w:hAnsi="Times New Roman"/>
          <w:b/>
          <w:sz w:val="24"/>
        </w:rPr>
        <w:t>Psychology of Sport and Exercise</w:t>
      </w:r>
      <w:r>
        <w:rPr>
          <w:rFonts w:ascii="Times New Roman" w:hAnsi="Times New Roman"/>
          <w:i w:val="0"/>
          <w:sz w:val="24"/>
        </w:rPr>
        <w:t>, v. 42, p. 130-137, 2019. DOI: https://doi.org/10.1016/j.psychsport.2018.12.018.</w:t>
      </w:r>
    </w:p>
    <w:p>
      <w:pPr>
        <w:spacing w:before="0" w:after="120" w:line="240" w:lineRule="auto"/>
        <w:ind w:left="0" w:firstLine="0"/>
        <w:jc w:val="left"/>
      </w:pPr>
      <w:r>
        <w:rPr>
          <w:rFonts w:ascii="Times New Roman" w:hAnsi="Times New Roman"/>
          <w:i w:val="0"/>
          <w:sz w:val="24"/>
        </w:rPr>
        <w:t xml:space="preserve">ELDADI, O.; SHARON-DAVID, H.; TENENBAUM, G. Interpersonal emotions in team sports. </w:t>
      </w:r>
      <w:r>
        <w:rPr>
          <w:rFonts w:ascii="Times New Roman" w:hAnsi="Times New Roman"/>
          <w:b/>
          <w:sz w:val="24"/>
        </w:rPr>
        <w:t>Scientific Journal of Sport and Performance</w:t>
      </w:r>
      <w:r>
        <w:rPr>
          <w:rFonts w:ascii="Times New Roman" w:hAnsi="Times New Roman"/>
          <w:i w:val="0"/>
          <w:sz w:val="24"/>
        </w:rPr>
        <w:t>, v. 2, n. 4, p. 473-491, 2023. DOI: https://doi.org/10.55860/kcdx3917.</w:t>
      </w:r>
    </w:p>
    <w:p>
      <w:pPr>
        <w:spacing w:before="0" w:after="120" w:line="240" w:lineRule="auto"/>
        <w:ind w:left="0" w:firstLine="0"/>
        <w:jc w:val="left"/>
      </w:pPr>
      <w:r>
        <w:rPr>
          <w:rFonts w:ascii="Times New Roman" w:hAnsi="Times New Roman"/>
          <w:i w:val="0"/>
          <w:sz w:val="24"/>
        </w:rPr>
        <w:t xml:space="preserve">ESSID, S. et al. Time-of-day effects in physical performances and psychological responses in young elite male handball players. </w:t>
      </w:r>
      <w:r>
        <w:rPr>
          <w:rFonts w:ascii="Times New Roman" w:hAnsi="Times New Roman"/>
          <w:b/>
          <w:sz w:val="24"/>
        </w:rPr>
        <w:t>Biological Rhythm Research</w:t>
      </w:r>
      <w:r>
        <w:rPr>
          <w:rFonts w:ascii="Times New Roman" w:hAnsi="Times New Roman"/>
          <w:i w:val="0"/>
          <w:sz w:val="24"/>
        </w:rPr>
        <w:t>, v. 53, n. 8, p. 1261-1272, 2022. DOI: https://doi.org/10.1080/09291016.2021.1922212.</w:t>
      </w:r>
    </w:p>
    <w:p>
      <w:pPr>
        <w:spacing w:before="0" w:after="120" w:line="240" w:lineRule="auto"/>
        <w:ind w:left="0" w:firstLine="0"/>
        <w:jc w:val="left"/>
      </w:pPr>
      <w:r>
        <w:rPr>
          <w:rFonts w:ascii="Times New Roman" w:hAnsi="Times New Roman"/>
          <w:i w:val="0"/>
          <w:sz w:val="24"/>
        </w:rPr>
        <w:t xml:space="preserve">EVMENENKO, A.; TEIXEIRA, D. S. The circumplex model of affect in physical activity contexts: a systematic review. </w:t>
      </w:r>
      <w:r>
        <w:rPr>
          <w:rFonts w:ascii="Times New Roman" w:hAnsi="Times New Roman"/>
          <w:b/>
          <w:sz w:val="24"/>
        </w:rPr>
        <w:t>International Journal of Sport and Exercise Psychology</w:t>
      </w:r>
      <w:r>
        <w:rPr>
          <w:rFonts w:ascii="Times New Roman" w:hAnsi="Times New Roman"/>
          <w:i w:val="0"/>
          <w:sz w:val="24"/>
        </w:rPr>
        <w:t>, v. 20, n. 1, p. 168-201, 2022. DOI: https://doi.org/10.1080/1612197x.2020.1854818.</w:t>
      </w:r>
    </w:p>
    <w:p>
      <w:pPr>
        <w:spacing w:before="0" w:after="120" w:line="240" w:lineRule="auto"/>
        <w:ind w:left="0" w:firstLine="0"/>
        <w:jc w:val="left"/>
      </w:pPr>
      <w:r>
        <w:rPr>
          <w:rFonts w:ascii="Times New Roman" w:hAnsi="Times New Roman"/>
          <w:i w:val="0"/>
          <w:sz w:val="24"/>
        </w:rPr>
        <w:t>FARZANEGI, P. et al. The effect of winning/losing on profiles of mood states and salivary cortisol concentration in female handball players. Tehran: Islamic Azad University, [2008?]. Disponível em: https://sanad.iau.ir/en/Article/889921. Acesso em: 21 out. 2026.</w:t>
      </w:r>
    </w:p>
    <w:p>
      <w:pPr>
        <w:spacing w:before="0" w:after="120" w:line="240" w:lineRule="auto"/>
        <w:ind w:left="0" w:firstLine="0"/>
        <w:jc w:val="left"/>
      </w:pPr>
      <w:r>
        <w:rPr>
          <w:rFonts w:ascii="Times New Roman" w:hAnsi="Times New Roman"/>
          <w:i w:val="0"/>
          <w:sz w:val="24"/>
        </w:rPr>
        <w:t xml:space="preserve">FESSI, M. S.; MOALLA, W. Postmatch Perceived Exertion, Feeling, and Wellness in Professional Soccer Players. </w:t>
      </w:r>
      <w:r>
        <w:rPr>
          <w:rFonts w:ascii="Times New Roman" w:hAnsi="Times New Roman"/>
          <w:b/>
          <w:sz w:val="24"/>
        </w:rPr>
        <w:t>International Journal of Sports Physiology and Performance</w:t>
      </w:r>
      <w:r>
        <w:rPr>
          <w:rFonts w:ascii="Times New Roman" w:hAnsi="Times New Roman"/>
          <w:i w:val="0"/>
          <w:sz w:val="24"/>
        </w:rPr>
        <w:t>, v. 13, n. 5, p. 631-637, 2018. DOI: https://doi.org/10.1123/ijspp.2017-0725.</w:t>
      </w:r>
    </w:p>
    <w:p>
      <w:pPr>
        <w:spacing w:before="0" w:after="120" w:line="240" w:lineRule="auto"/>
        <w:ind w:left="0" w:firstLine="0"/>
        <w:jc w:val="left"/>
      </w:pPr>
      <w:r>
        <w:rPr>
          <w:rFonts w:ascii="Times New Roman" w:hAnsi="Times New Roman"/>
          <w:i w:val="0"/>
          <w:sz w:val="24"/>
        </w:rPr>
        <w:t xml:space="preserve">FREEMANTLE, A. W. et al. Collective Emotions in Doubles Table Tennis. </w:t>
      </w:r>
      <w:r>
        <w:rPr>
          <w:rFonts w:ascii="Times New Roman" w:hAnsi="Times New Roman"/>
          <w:b/>
          <w:sz w:val="24"/>
        </w:rPr>
        <w:t>Journal of Sport and Exercise Psychology</w:t>
      </w:r>
      <w:r>
        <w:rPr>
          <w:rFonts w:ascii="Times New Roman" w:hAnsi="Times New Roman"/>
          <w:i w:val="0"/>
          <w:sz w:val="24"/>
        </w:rPr>
        <w:t>, v. 44, n. 5, p. 317-326, 2022. DOI: https://doi.org/10.1123/jsep.2021-0246.</w:t>
      </w:r>
    </w:p>
    <w:p>
      <w:pPr>
        <w:spacing w:before="0" w:after="120" w:line="240" w:lineRule="auto"/>
        <w:ind w:left="0" w:firstLine="0"/>
        <w:jc w:val="left"/>
      </w:pPr>
      <w:r>
        <w:rPr>
          <w:rFonts w:ascii="Times New Roman" w:hAnsi="Times New Roman"/>
          <w:i w:val="0"/>
          <w:sz w:val="24"/>
        </w:rPr>
        <w:t xml:space="preserve">GALVÃO, M. C. B.; RICARTE, I. L. M. Revisão sistemática da literatura: conceituação, produção e publicação. </w:t>
      </w:r>
      <w:r>
        <w:rPr>
          <w:rFonts w:ascii="Times New Roman" w:hAnsi="Times New Roman"/>
          <w:b/>
          <w:sz w:val="24"/>
        </w:rPr>
        <w:t>Logeion: Filosofia da Informação</w:t>
      </w:r>
      <w:r>
        <w:rPr>
          <w:rFonts w:ascii="Times New Roman" w:hAnsi="Times New Roman"/>
          <w:i w:val="0"/>
          <w:sz w:val="24"/>
        </w:rPr>
        <w:t>, v. 6, n. 1, p. 57-73, 2019. DOI: https://doi.org/10.21728/logeion.2019v6n1.p57-73.</w:t>
      </w:r>
    </w:p>
    <w:p>
      <w:pPr>
        <w:spacing w:before="0" w:after="120" w:line="240" w:lineRule="auto"/>
        <w:ind w:left="0" w:firstLine="0"/>
        <w:jc w:val="left"/>
      </w:pPr>
      <w:r>
        <w:rPr>
          <w:rFonts w:ascii="Times New Roman" w:hAnsi="Times New Roman"/>
          <w:i w:val="0"/>
          <w:sz w:val="24"/>
        </w:rPr>
        <w:t xml:space="preserve">GARCÍA-CEBERINO, J. M.; FUENTES-GARCÍA, J. P.; VILLAFAINA, S. Impact of Basketball Match on the Pre-Competitive Anxiety and HRV of Youth Female Players. </w:t>
      </w:r>
      <w:r>
        <w:rPr>
          <w:rFonts w:ascii="Times New Roman" w:hAnsi="Times New Roman"/>
          <w:b/>
          <w:sz w:val="24"/>
        </w:rPr>
        <w:t>International Journal of Environmental Research and Public Health</w:t>
      </w:r>
      <w:r>
        <w:rPr>
          <w:rFonts w:ascii="Times New Roman" w:hAnsi="Times New Roman"/>
          <w:i w:val="0"/>
          <w:sz w:val="24"/>
        </w:rPr>
        <w:t>, v. 19, n. 13, e7894, 2022. DOI: https://doi.org/10.3390/ijerph19137894.</w:t>
      </w:r>
    </w:p>
    <w:p>
      <w:pPr>
        <w:spacing w:before="0" w:after="120" w:line="240" w:lineRule="auto"/>
        <w:ind w:left="0" w:firstLine="0"/>
        <w:jc w:val="left"/>
      </w:pPr>
      <w:r>
        <w:rPr>
          <w:rFonts w:ascii="Times New Roman" w:hAnsi="Times New Roman"/>
          <w:i w:val="0"/>
          <w:sz w:val="24"/>
        </w:rPr>
        <w:t xml:space="preserve">GARCÍA-HERRERO, J. A. et al. Analysis of the Relationship between Satisfaction with the Coach and the Effect of Comparative Social Feedback in Elite Female Handball Players. </w:t>
      </w:r>
      <w:r>
        <w:rPr>
          <w:rFonts w:ascii="Times New Roman" w:hAnsi="Times New Roman"/>
          <w:b/>
          <w:sz w:val="24"/>
        </w:rPr>
        <w:t>International Journal of Environmental Research and Public Health</w:t>
      </w:r>
      <w:r>
        <w:rPr>
          <w:rFonts w:ascii="Times New Roman" w:hAnsi="Times New Roman"/>
          <w:i w:val="0"/>
          <w:sz w:val="24"/>
        </w:rPr>
        <w:t>, v. 19, n. 13, e7680, 2022. DOI: https://doi.org/10.3390/ijerph19137680.</w:t>
      </w:r>
    </w:p>
    <w:p>
      <w:pPr>
        <w:spacing w:before="0" w:after="120" w:line="240" w:lineRule="auto"/>
        <w:ind w:left="0" w:firstLine="0"/>
        <w:jc w:val="left"/>
      </w:pPr>
      <w:r>
        <w:rPr>
          <w:rFonts w:ascii="Times New Roman" w:hAnsi="Times New Roman"/>
          <w:i w:val="0"/>
          <w:sz w:val="24"/>
        </w:rPr>
        <w:t xml:space="preserve">GARCÍA-SÁNCHEZ, C. et al. Physical Demands during Official Competitions in Elite Handball: A Systematic Review. </w:t>
      </w:r>
      <w:r>
        <w:rPr>
          <w:rFonts w:ascii="Times New Roman" w:hAnsi="Times New Roman"/>
          <w:b/>
          <w:sz w:val="24"/>
        </w:rPr>
        <w:t>International Journal of Environmental Research and Public Health</w:t>
      </w:r>
      <w:r>
        <w:rPr>
          <w:rFonts w:ascii="Times New Roman" w:hAnsi="Times New Roman"/>
          <w:i w:val="0"/>
          <w:sz w:val="24"/>
        </w:rPr>
        <w:t>, v. 20, n. 4, e3353, 2023. DOI: https://doi.org/10.3390/ijerph20043353.</w:t>
      </w:r>
    </w:p>
    <w:p>
      <w:pPr>
        <w:spacing w:before="0" w:after="120" w:line="240" w:lineRule="auto"/>
        <w:ind w:left="0" w:firstLine="0"/>
        <w:jc w:val="left"/>
      </w:pPr>
      <w:r>
        <w:rPr>
          <w:rFonts w:ascii="Times New Roman" w:hAnsi="Times New Roman"/>
          <w:i w:val="0"/>
          <w:sz w:val="24"/>
        </w:rPr>
        <w:t xml:space="preserve">GARWOOD, F. (i) Fiducial Limits for the Poisson Distribution. </w:t>
      </w:r>
      <w:r>
        <w:rPr>
          <w:rFonts w:ascii="Times New Roman" w:hAnsi="Times New Roman"/>
          <w:b/>
          <w:sz w:val="24"/>
        </w:rPr>
        <w:t>Biometrika</w:t>
      </w:r>
      <w:r>
        <w:rPr>
          <w:rFonts w:ascii="Times New Roman" w:hAnsi="Times New Roman"/>
          <w:i w:val="0"/>
          <w:sz w:val="24"/>
        </w:rPr>
        <w:t>, v. 28, n. 3-4, p. 437-442, 1936. DOI: https://doi.org/10.1093/biomet/28.3-4.437.</w:t>
      </w:r>
    </w:p>
    <w:p>
      <w:pPr>
        <w:spacing w:before="0" w:after="120" w:line="240" w:lineRule="auto"/>
        <w:ind w:left="0" w:firstLine="0"/>
        <w:jc w:val="left"/>
      </w:pPr>
      <w:r>
        <w:rPr>
          <w:rFonts w:ascii="Times New Roman" w:hAnsi="Times New Roman"/>
          <w:i w:val="0"/>
          <w:sz w:val="24"/>
        </w:rPr>
        <w:t xml:space="preserve">GHAZEL, N. et al. The effect of music on short-term exercise performance during the different menstrual cycle phases in female handball players. </w:t>
      </w:r>
      <w:r>
        <w:rPr>
          <w:rFonts w:ascii="Times New Roman" w:hAnsi="Times New Roman"/>
          <w:b/>
          <w:sz w:val="24"/>
        </w:rPr>
        <w:t>Research in Sports Medicine</w:t>
      </w:r>
      <w:r>
        <w:rPr>
          <w:rFonts w:ascii="Times New Roman" w:hAnsi="Times New Roman"/>
          <w:i w:val="0"/>
          <w:sz w:val="24"/>
        </w:rPr>
        <w:t>, v. 30, n. 1, p. 50-60, 2022. DOI: https://doi.org/10.1080/15438627.2020.1860045.</w:t>
      </w:r>
    </w:p>
    <w:p>
      <w:pPr>
        <w:spacing w:before="0" w:after="120" w:line="240" w:lineRule="auto"/>
        <w:ind w:left="0" w:firstLine="0"/>
        <w:jc w:val="left"/>
      </w:pPr>
      <w:r>
        <w:rPr>
          <w:rFonts w:ascii="Times New Roman" w:hAnsi="Times New Roman"/>
          <w:i w:val="0"/>
          <w:sz w:val="24"/>
        </w:rPr>
        <w:t xml:space="preserve">GOUTTEBARGE, V. et al. Occurrence of mental health symptoms and disorders in current and former elite athletes: a systematic review and meta-analysis. </w:t>
      </w:r>
      <w:r>
        <w:rPr>
          <w:rFonts w:ascii="Times New Roman" w:hAnsi="Times New Roman"/>
          <w:b/>
          <w:sz w:val="24"/>
        </w:rPr>
        <w:t>British Journal of Sports Medicine</w:t>
      </w:r>
      <w:r>
        <w:rPr>
          <w:rFonts w:ascii="Times New Roman" w:hAnsi="Times New Roman"/>
          <w:i w:val="0"/>
          <w:sz w:val="24"/>
        </w:rPr>
        <w:t>, v. 53, n. 11, p. 700-706, 2019. DOI: https://doi.org/10.1136/bjsports-2019-100671.</w:t>
      </w:r>
    </w:p>
    <w:p>
      <w:pPr>
        <w:spacing w:before="0" w:after="120" w:line="240" w:lineRule="auto"/>
        <w:ind w:left="0" w:firstLine="0"/>
        <w:jc w:val="left"/>
      </w:pPr>
      <w:r>
        <w:rPr>
          <w:rFonts w:ascii="Times New Roman" w:hAnsi="Times New Roman"/>
          <w:i w:val="0"/>
          <w:sz w:val="24"/>
        </w:rPr>
        <w:t xml:space="preserve">GOUTTEBARGE, V. et al. Supporting the IOC Consensus Statement on Mental Health in Elite Athletes: A Systematic Review and Meta-Analysis on the Prevalence of Mental Health Symptoms in Elite Sports. </w:t>
      </w:r>
      <w:r>
        <w:rPr>
          <w:rFonts w:ascii="Times New Roman" w:hAnsi="Times New Roman"/>
          <w:b/>
          <w:sz w:val="24"/>
        </w:rPr>
        <w:t>Sports</w:t>
      </w:r>
      <w:r>
        <w:rPr>
          <w:rFonts w:ascii="Times New Roman" w:hAnsi="Times New Roman"/>
          <w:i w:val="0"/>
          <w:sz w:val="24"/>
        </w:rPr>
        <w:t>, v. 14, n. 7, e296, 2026. DOI: https://doi.org/10.3390/sports14070296.</w:t>
      </w:r>
    </w:p>
    <w:p>
      <w:pPr>
        <w:spacing w:before="0" w:after="120" w:line="240" w:lineRule="auto"/>
        <w:ind w:left="0" w:firstLine="0"/>
        <w:jc w:val="left"/>
      </w:pPr>
      <w:r>
        <w:rPr>
          <w:rFonts w:ascii="Times New Roman" w:hAnsi="Times New Roman"/>
          <w:i w:val="0"/>
          <w:sz w:val="24"/>
        </w:rPr>
        <w:t xml:space="preserve">GREBLO JURAKIĆ, Z.; BOJIĆ-ĆAĆIĆ, L.; LJUBIČIĆ, V. The relationship between perceived motivational climate and psychological well-being among adolescent handball players. </w:t>
      </w:r>
      <w:r>
        <w:rPr>
          <w:rFonts w:ascii="Times New Roman" w:hAnsi="Times New Roman"/>
          <w:b/>
          <w:sz w:val="24"/>
        </w:rPr>
        <w:t>Frontiers in Sports and Active Living</w:t>
      </w:r>
      <w:r>
        <w:rPr>
          <w:rFonts w:ascii="Times New Roman" w:hAnsi="Times New Roman"/>
          <w:i w:val="0"/>
          <w:sz w:val="24"/>
        </w:rPr>
        <w:t>, v. 8, e1827113, 2026. DOI: https://doi.org/10.3389/fspor.2026.1827113.</w:t>
      </w:r>
    </w:p>
    <w:p>
      <w:pPr>
        <w:spacing w:before="0" w:after="120" w:line="240" w:lineRule="auto"/>
        <w:ind w:left="0" w:firstLine="0"/>
        <w:jc w:val="left"/>
      </w:pPr>
      <w:r>
        <w:rPr>
          <w:rFonts w:ascii="Times New Roman" w:hAnsi="Times New Roman"/>
          <w:i w:val="0"/>
          <w:sz w:val="24"/>
        </w:rPr>
        <w:t xml:space="preserve">GÜMÜŞ, H.; GENÇOĞLU, C. The effects of the goalkeeper substitution rule as a new strategy in handball: Analysis of Men's European Handball Championship 2020. </w:t>
      </w:r>
      <w:r>
        <w:rPr>
          <w:rFonts w:ascii="Times New Roman" w:hAnsi="Times New Roman"/>
          <w:b/>
          <w:sz w:val="24"/>
        </w:rPr>
        <w:t>Acta Gymnica</w:t>
      </w:r>
      <w:r>
        <w:rPr>
          <w:rFonts w:ascii="Times New Roman" w:hAnsi="Times New Roman"/>
          <w:i w:val="0"/>
          <w:sz w:val="24"/>
        </w:rPr>
        <w:t>, v. 50, n. 3, p. 113-121, 2020. DOI: https://doi.org/10.5507/ag.2020.015.</w:t>
      </w:r>
    </w:p>
    <w:p>
      <w:pPr>
        <w:spacing w:before="0" w:after="120" w:line="240" w:lineRule="auto"/>
        <w:ind w:left="0" w:firstLine="0"/>
        <w:jc w:val="left"/>
      </w:pPr>
      <w:r>
        <w:rPr>
          <w:rFonts w:ascii="Times New Roman" w:hAnsi="Times New Roman"/>
          <w:i w:val="0"/>
          <w:sz w:val="24"/>
        </w:rPr>
        <w:t xml:space="preserve">GWYTHER, K. et al. Sleep interventions for performance, mood and sleep outcomes in athletes: A systematic review and meta-analysis. </w:t>
      </w:r>
      <w:r>
        <w:rPr>
          <w:rFonts w:ascii="Times New Roman" w:hAnsi="Times New Roman"/>
          <w:b/>
          <w:sz w:val="24"/>
        </w:rPr>
        <w:t>Psychology of Sport and Exercise</w:t>
      </w:r>
      <w:r>
        <w:rPr>
          <w:rFonts w:ascii="Times New Roman" w:hAnsi="Times New Roman"/>
          <w:i w:val="0"/>
          <w:sz w:val="24"/>
        </w:rPr>
        <w:t>, v. 58, e102094, 2022. DOI: https://doi.org/10.1016/j.psychsport.2021.102094.</w:t>
      </w:r>
    </w:p>
    <w:p>
      <w:pPr>
        <w:spacing w:before="0" w:after="120" w:line="240" w:lineRule="auto"/>
        <w:ind w:left="0" w:firstLine="0"/>
        <w:jc w:val="left"/>
      </w:pPr>
      <w:r>
        <w:rPr>
          <w:rFonts w:ascii="Times New Roman" w:hAnsi="Times New Roman"/>
          <w:i w:val="0"/>
          <w:sz w:val="24"/>
        </w:rPr>
        <w:t xml:space="preserve">HADJISAVVAS, S. et al. The Effect of Fatigue on Throwing Performance in Handball Players: Systematic Review with Meta-Analysis. </w:t>
      </w:r>
      <w:r>
        <w:rPr>
          <w:rFonts w:ascii="Times New Roman" w:hAnsi="Times New Roman"/>
          <w:b/>
          <w:sz w:val="24"/>
        </w:rPr>
        <w:t>Journal of Functional Morphology and Kinesiology</w:t>
      </w:r>
      <w:r>
        <w:rPr>
          <w:rFonts w:ascii="Times New Roman" w:hAnsi="Times New Roman"/>
          <w:i w:val="0"/>
          <w:sz w:val="24"/>
        </w:rPr>
        <w:t>, v. 11, n. 2, e191, 2026. DOI: https://doi.org/10.3390/jfmk11020191.</w:t>
      </w:r>
    </w:p>
    <w:p>
      <w:pPr>
        <w:spacing w:before="0" w:after="120" w:line="240" w:lineRule="auto"/>
        <w:ind w:left="0" w:firstLine="0"/>
        <w:jc w:val="left"/>
      </w:pPr>
      <w:r>
        <w:rPr>
          <w:rFonts w:ascii="Times New Roman" w:hAnsi="Times New Roman"/>
          <w:i w:val="0"/>
          <w:sz w:val="24"/>
        </w:rPr>
        <w:t xml:space="preserve">HAN, C. S. Y.; PARSONS-SMITH, R. L.; TERRY, P. C. Mood Profiling in Singapore: Cross-Cultural Validation and Potential Applications of Mood Profile Clusters. </w:t>
      </w:r>
      <w:r>
        <w:rPr>
          <w:rFonts w:ascii="Times New Roman" w:hAnsi="Times New Roman"/>
          <w:b/>
          <w:sz w:val="24"/>
        </w:rPr>
        <w:t>Frontiers in Psychology</w:t>
      </w:r>
      <w:r>
        <w:rPr>
          <w:rFonts w:ascii="Times New Roman" w:hAnsi="Times New Roman"/>
          <w:i w:val="0"/>
          <w:sz w:val="24"/>
        </w:rPr>
        <w:t>, v. 11, e665, 2020. DOI: https://doi.org/10.3389/fpsyg.2020.00665.</w:t>
      </w:r>
    </w:p>
    <w:p>
      <w:pPr>
        <w:spacing w:before="0" w:after="120" w:line="240" w:lineRule="auto"/>
        <w:ind w:left="0" w:firstLine="0"/>
        <w:jc w:val="left"/>
      </w:pPr>
      <w:r>
        <w:rPr>
          <w:rFonts w:ascii="Times New Roman" w:hAnsi="Times New Roman"/>
          <w:i w:val="0"/>
          <w:sz w:val="24"/>
        </w:rPr>
        <w:t xml:space="preserve">HARDY, C. J.; REJESKI, W. J. Not What, but How One Feels: The Measurement of Affect during Exercise. </w:t>
      </w:r>
      <w:r>
        <w:rPr>
          <w:rFonts w:ascii="Times New Roman" w:hAnsi="Times New Roman"/>
          <w:b/>
          <w:sz w:val="24"/>
        </w:rPr>
        <w:t>Journal of Sport and Exercise Psychology</w:t>
      </w:r>
      <w:r>
        <w:rPr>
          <w:rFonts w:ascii="Times New Roman" w:hAnsi="Times New Roman"/>
          <w:i w:val="0"/>
          <w:sz w:val="24"/>
        </w:rPr>
        <w:t>, v. 11, n. 3, p. 304-317, 1989. DOI: https://doi.org/10.1123/jsep.11.3.304.</w:t>
      </w:r>
    </w:p>
    <w:p>
      <w:pPr>
        <w:spacing w:before="0" w:after="120" w:line="240" w:lineRule="auto"/>
        <w:ind w:left="0" w:firstLine="0"/>
        <w:jc w:val="left"/>
      </w:pPr>
      <w:r>
        <w:rPr>
          <w:rFonts w:ascii="Times New Roman" w:hAnsi="Times New Roman"/>
          <w:i w:val="0"/>
          <w:sz w:val="24"/>
        </w:rPr>
        <w:t xml:space="preserve">HE, X. et al. Effects of music on affective responses to acute exercise: A meta‐analytic review and multilevel meta‐analysis. </w:t>
      </w:r>
      <w:r>
        <w:rPr>
          <w:rFonts w:ascii="Times New Roman" w:hAnsi="Times New Roman"/>
          <w:b/>
          <w:sz w:val="24"/>
        </w:rPr>
        <w:t>Applied Psychology: Health and Well-Being</w:t>
      </w:r>
      <w:r>
        <w:rPr>
          <w:rFonts w:ascii="Times New Roman" w:hAnsi="Times New Roman"/>
          <w:i w:val="0"/>
          <w:sz w:val="24"/>
        </w:rPr>
        <w:t>, v. 17, n. 6, e70092, 2025. DOI: https://doi.org/10.1111/aphw.70092.</w:t>
      </w:r>
    </w:p>
    <w:p>
      <w:pPr>
        <w:spacing w:before="0" w:after="120" w:line="240" w:lineRule="auto"/>
        <w:ind w:left="0" w:firstLine="0"/>
        <w:jc w:val="left"/>
      </w:pPr>
      <w:r>
        <w:rPr>
          <w:rFonts w:ascii="Times New Roman" w:hAnsi="Times New Roman"/>
          <w:i w:val="0"/>
          <w:sz w:val="24"/>
        </w:rPr>
        <w:t xml:space="preserve">HENZE, A.-S. et al. Athlete monitoring in handball (ATHMON HB): a systematic review protocol. </w:t>
      </w:r>
      <w:r>
        <w:rPr>
          <w:rFonts w:ascii="Times New Roman" w:hAnsi="Times New Roman"/>
          <w:b/>
          <w:sz w:val="24"/>
        </w:rPr>
        <w:t>Systematic Reviews</w:t>
      </w:r>
      <w:r>
        <w:rPr>
          <w:rFonts w:ascii="Times New Roman" w:hAnsi="Times New Roman"/>
          <w:i w:val="0"/>
          <w:sz w:val="24"/>
        </w:rPr>
        <w:t>, v. 14, n. 1, e64, 2025. DOI: https://doi.org/10.1186/s13643-025-02806-2.</w:t>
      </w:r>
    </w:p>
    <w:p>
      <w:pPr>
        <w:spacing w:before="0" w:after="120" w:line="240" w:lineRule="auto"/>
        <w:ind w:left="0" w:firstLine="0"/>
        <w:jc w:val="left"/>
      </w:pPr>
      <w:r>
        <w:rPr>
          <w:rFonts w:ascii="Times New Roman" w:hAnsi="Times New Roman"/>
          <w:i w:val="0"/>
          <w:sz w:val="24"/>
        </w:rPr>
        <w:t xml:space="preserve">HENZE, A.-S. et al. Athlete Monitoring in Handball (ATHMON HB): Relationship Between Well-Being and Match Performance in Elite Male Handball Players. </w:t>
      </w:r>
      <w:r>
        <w:rPr>
          <w:rFonts w:ascii="Times New Roman" w:hAnsi="Times New Roman"/>
          <w:b/>
          <w:sz w:val="24"/>
        </w:rPr>
        <w:t>International Journal of Sports Physiology and Performance</w:t>
      </w:r>
      <w:r>
        <w:rPr>
          <w:rFonts w:ascii="Times New Roman" w:hAnsi="Times New Roman"/>
          <w:i w:val="0"/>
          <w:sz w:val="24"/>
        </w:rPr>
        <w:t>, v. 21, n. 3, p. 384-391, 2026. DOI: https://doi.org/10.1123/ijspp.2025-0341.</w:t>
      </w:r>
    </w:p>
    <w:p>
      <w:pPr>
        <w:spacing w:before="0" w:after="120" w:line="240" w:lineRule="auto"/>
        <w:ind w:left="0" w:firstLine="0"/>
        <w:jc w:val="left"/>
      </w:pPr>
      <w:r>
        <w:rPr>
          <w:rFonts w:ascii="Times New Roman" w:hAnsi="Times New Roman"/>
          <w:i w:val="0"/>
          <w:sz w:val="24"/>
        </w:rPr>
        <w:t xml:space="preserve">HINZ, M. et al. Differences in Decision-Making Behavior Between Elite and Amateur Team-Handball Players in a Near-Game Test Situation. </w:t>
      </w:r>
      <w:r>
        <w:rPr>
          <w:rFonts w:ascii="Times New Roman" w:hAnsi="Times New Roman"/>
          <w:b/>
          <w:sz w:val="24"/>
        </w:rPr>
        <w:t>Frontiers in Psychology</w:t>
      </w:r>
      <w:r>
        <w:rPr>
          <w:rFonts w:ascii="Times New Roman" w:hAnsi="Times New Roman"/>
          <w:i w:val="0"/>
          <w:sz w:val="24"/>
        </w:rPr>
        <w:t>, v. 13, e854208, 2022. DOI: https://doi.org/10.3389/fpsyg.2022.854208.</w:t>
      </w:r>
    </w:p>
    <w:p>
      <w:pPr>
        <w:spacing w:before="0" w:after="120" w:line="240" w:lineRule="auto"/>
        <w:ind w:left="0" w:firstLine="0"/>
        <w:jc w:val="left"/>
      </w:pPr>
      <w:r>
        <w:rPr>
          <w:rFonts w:ascii="Times New Roman" w:hAnsi="Times New Roman"/>
          <w:i w:val="0"/>
          <w:sz w:val="24"/>
        </w:rPr>
        <w:t xml:space="preserve">HOPKINS, W. G. et al. Progressive Statistics for Studies in Sports Medicine and Exercise Science. </w:t>
      </w:r>
      <w:r>
        <w:rPr>
          <w:rFonts w:ascii="Times New Roman" w:hAnsi="Times New Roman"/>
          <w:b/>
          <w:sz w:val="24"/>
        </w:rPr>
        <w:t>Medicine &amp; Science in Sports &amp; Exercise</w:t>
      </w:r>
      <w:r>
        <w:rPr>
          <w:rFonts w:ascii="Times New Roman" w:hAnsi="Times New Roman"/>
          <w:i w:val="0"/>
          <w:sz w:val="24"/>
        </w:rPr>
        <w:t>, v. 41, n. 1, p. 3-12, 2009. DOI: https://doi.org/10.1249/mss.0b013e31818cb278.</w:t>
      </w:r>
    </w:p>
    <w:p>
      <w:pPr>
        <w:spacing w:before="0" w:after="120" w:line="240" w:lineRule="auto"/>
        <w:ind w:left="0" w:firstLine="0"/>
        <w:jc w:val="left"/>
      </w:pPr>
      <w:r>
        <w:rPr>
          <w:rFonts w:ascii="Times New Roman" w:hAnsi="Times New Roman"/>
          <w:i w:val="0"/>
          <w:sz w:val="24"/>
        </w:rPr>
        <w:t xml:space="preserve">HU, X.; CHEN, P. Time-of-day effects of acute and regular exercise on sleep quality and mood: a three-level meta-analysis. </w:t>
      </w:r>
      <w:r>
        <w:rPr>
          <w:rFonts w:ascii="Times New Roman" w:hAnsi="Times New Roman"/>
          <w:b/>
          <w:sz w:val="24"/>
        </w:rPr>
        <w:t>Frontiers in Psychology</w:t>
      </w:r>
      <w:r>
        <w:rPr>
          <w:rFonts w:ascii="Times New Roman" w:hAnsi="Times New Roman"/>
          <w:i w:val="0"/>
          <w:sz w:val="24"/>
        </w:rPr>
        <w:t>, v. 17, e1933599, 2026. DOI: https://doi.org/10.3389/fpsyg.2026.1933599.</w:t>
      </w:r>
    </w:p>
    <w:p>
      <w:pPr>
        <w:spacing w:before="0" w:after="120" w:line="240" w:lineRule="auto"/>
        <w:ind w:left="0" w:firstLine="0"/>
        <w:jc w:val="left"/>
      </w:pPr>
      <w:r>
        <w:rPr>
          <w:rFonts w:ascii="Times New Roman" w:hAnsi="Times New Roman"/>
          <w:i w:val="0"/>
          <w:sz w:val="24"/>
        </w:rPr>
        <w:t xml:space="preserve">HYNDMAN, R. J. Moving Averages. In: </w:t>
      </w:r>
      <w:r>
        <w:rPr>
          <w:rFonts w:ascii="Times New Roman" w:hAnsi="Times New Roman"/>
          <w:b/>
          <w:sz w:val="24"/>
        </w:rPr>
        <w:t>International Encyclopedia of Statistical Science</w:t>
      </w:r>
      <w:r>
        <w:rPr>
          <w:rFonts w:ascii="Times New Roman" w:hAnsi="Times New Roman"/>
          <w:i w:val="0"/>
          <w:sz w:val="24"/>
        </w:rPr>
        <w:t>. [S. l.]: Springer Berlin Heidelberg, 2011. p. 866-869. DOI: https://doi.org/10.1007/978-3-642-04898-2_380.</w:t>
      </w:r>
    </w:p>
    <w:p>
      <w:pPr>
        <w:spacing w:before="0" w:after="120" w:line="240" w:lineRule="auto"/>
        <w:ind w:left="0" w:firstLine="0"/>
        <w:jc w:val="left"/>
      </w:pPr>
      <w:r>
        <w:rPr>
          <w:rFonts w:ascii="Times New Roman" w:hAnsi="Times New Roman"/>
          <w:i w:val="0"/>
          <w:sz w:val="24"/>
        </w:rPr>
        <w:t xml:space="preserve">IANNACCONE, A. et al. Relationship Between External and Internal Load Measures in Youth Beach Handball. </w:t>
      </w:r>
      <w:r>
        <w:rPr>
          <w:rFonts w:ascii="Times New Roman" w:hAnsi="Times New Roman"/>
          <w:b/>
          <w:sz w:val="24"/>
        </w:rPr>
        <w:t>International Journal of Sports Physiology and Performance</w:t>
      </w:r>
      <w:r>
        <w:rPr>
          <w:rFonts w:ascii="Times New Roman" w:hAnsi="Times New Roman"/>
          <w:i w:val="0"/>
          <w:sz w:val="24"/>
        </w:rPr>
        <w:t>, v. 17, n. 2, p. 256-262, 2022. DOI: https://doi.org/10.1123/ijspp.2021-0225.</w:t>
      </w:r>
    </w:p>
    <w:p>
      <w:pPr>
        <w:spacing w:before="0" w:after="120" w:line="240" w:lineRule="auto"/>
        <w:ind w:left="0" w:firstLine="0"/>
        <w:jc w:val="left"/>
      </w:pPr>
      <w:r>
        <w:rPr>
          <w:rFonts w:ascii="Times New Roman" w:hAnsi="Times New Roman"/>
          <w:i w:val="0"/>
          <w:sz w:val="24"/>
        </w:rPr>
        <w:t xml:space="preserve">IVANOVIĆ, M.; IVANOVIĆ, U. Influence of health status and loneliness on satisfaction with life, emotional dimensions, and distress in junior handball players. </w:t>
      </w:r>
      <w:r>
        <w:rPr>
          <w:rFonts w:ascii="Times New Roman" w:hAnsi="Times New Roman"/>
          <w:b/>
          <w:sz w:val="24"/>
        </w:rPr>
        <w:t>Exercise and Quality of Life</w:t>
      </w:r>
      <w:r>
        <w:rPr>
          <w:rFonts w:ascii="Times New Roman" w:hAnsi="Times New Roman"/>
          <w:i w:val="0"/>
          <w:sz w:val="24"/>
        </w:rPr>
        <w:t>, v. 15, n. 1, p. 27-35, 2023. DOI: https://doi.org/10.31382/eqol.230604.</w:t>
      </w:r>
    </w:p>
    <w:p>
      <w:pPr>
        <w:spacing w:before="0" w:after="120" w:line="240" w:lineRule="auto"/>
        <w:ind w:left="0" w:firstLine="0"/>
        <w:jc w:val="left"/>
      </w:pPr>
      <w:r>
        <w:rPr>
          <w:rFonts w:ascii="Times New Roman" w:hAnsi="Times New Roman"/>
          <w:i w:val="0"/>
          <w:sz w:val="24"/>
        </w:rPr>
        <w:t xml:space="preserve">JEFFRIES, A. C. et al. Athlete-Reported Outcome Measures for Monitoring Training Responses: A Systematic Review of Risk of Bias and Measurement Property Quality According to the COSMIN Guidelines. </w:t>
      </w:r>
      <w:r>
        <w:rPr>
          <w:rFonts w:ascii="Times New Roman" w:hAnsi="Times New Roman"/>
          <w:b/>
          <w:sz w:val="24"/>
        </w:rPr>
        <w:t>International Journal of Sports Physiology and Performance</w:t>
      </w:r>
      <w:r>
        <w:rPr>
          <w:rFonts w:ascii="Times New Roman" w:hAnsi="Times New Roman"/>
          <w:i w:val="0"/>
          <w:sz w:val="24"/>
        </w:rPr>
        <w:t>, v. 15, n. 9, p. 1203-1215, 2020. DOI: https://doi.org/10.1123/ijspp.2020-0386.</w:t>
      </w:r>
    </w:p>
    <w:p>
      <w:pPr>
        <w:spacing w:before="0" w:after="120" w:line="240" w:lineRule="auto"/>
        <w:ind w:left="0" w:firstLine="0"/>
        <w:jc w:val="left"/>
      </w:pPr>
      <w:r>
        <w:rPr>
          <w:rFonts w:ascii="Times New Roman" w:hAnsi="Times New Roman"/>
          <w:i w:val="0"/>
          <w:sz w:val="24"/>
        </w:rPr>
        <w:t xml:space="preserve">JETZKE, M.; WINTER, C. Do we need a more flexible use of Team Timeout calling? Evidence from the Handball Bundesliga. </w:t>
      </w:r>
      <w:r>
        <w:rPr>
          <w:rFonts w:ascii="Times New Roman" w:hAnsi="Times New Roman"/>
          <w:b/>
          <w:sz w:val="24"/>
        </w:rPr>
        <w:t>Journal of Sports Sciences</w:t>
      </w:r>
      <w:r>
        <w:rPr>
          <w:rFonts w:ascii="Times New Roman" w:hAnsi="Times New Roman"/>
          <w:i w:val="0"/>
          <w:sz w:val="24"/>
        </w:rPr>
        <w:t>, v. 40, n. 8, p. 878-885, 2022. DOI: https://doi.org/10.1080/02640414.2021.2022860.</w:t>
      </w:r>
    </w:p>
    <w:p>
      <w:pPr>
        <w:spacing w:before="0" w:after="120" w:line="240" w:lineRule="auto"/>
        <w:ind w:left="0" w:firstLine="0"/>
        <w:jc w:val="left"/>
      </w:pPr>
      <w:r>
        <w:rPr>
          <w:rFonts w:ascii="Times New Roman" w:hAnsi="Times New Roman"/>
          <w:i w:val="0"/>
          <w:sz w:val="24"/>
        </w:rPr>
        <w:t xml:space="preserve">JIA, L. et al. The Effect of the COVID-19 Pandemic on the Mental and Emotional Health of Athletes: A Systematic Review. </w:t>
      </w:r>
      <w:r>
        <w:rPr>
          <w:rFonts w:ascii="Times New Roman" w:hAnsi="Times New Roman"/>
          <w:b/>
          <w:sz w:val="24"/>
        </w:rPr>
        <w:t>The American Journal of Sports Medicine</w:t>
      </w:r>
      <w:r>
        <w:rPr>
          <w:rFonts w:ascii="Times New Roman" w:hAnsi="Times New Roman"/>
          <w:i w:val="0"/>
          <w:sz w:val="24"/>
        </w:rPr>
        <w:t>, v. 51, n. 8, p. 2207-2215, 2023. DOI: https://doi.org/10.1177/03635465221087473.</w:t>
      </w:r>
    </w:p>
    <w:p>
      <w:pPr>
        <w:spacing w:before="0" w:after="120" w:line="240" w:lineRule="auto"/>
        <w:ind w:left="0" w:firstLine="0"/>
        <w:jc w:val="left"/>
      </w:pPr>
      <w:r>
        <w:rPr>
          <w:rFonts w:ascii="Times New Roman" w:hAnsi="Times New Roman"/>
          <w:i w:val="0"/>
          <w:sz w:val="24"/>
        </w:rPr>
        <w:t xml:space="preserve">JODRA, P. et al. Effects of caffeine supplementation on physical performance and mood dimensions in elite and trained-recreational athletes. </w:t>
      </w:r>
      <w:r>
        <w:rPr>
          <w:rFonts w:ascii="Times New Roman" w:hAnsi="Times New Roman"/>
          <w:b/>
          <w:sz w:val="24"/>
        </w:rPr>
        <w:t>Journal of the International Society of Sports Nutrition</w:t>
      </w:r>
      <w:r>
        <w:rPr>
          <w:rFonts w:ascii="Times New Roman" w:hAnsi="Times New Roman"/>
          <w:i w:val="0"/>
          <w:sz w:val="24"/>
        </w:rPr>
        <w:t>, v. 17, n. 1, e2, 2020. DOI: https://doi.org/10.1186/s12970-019-0332-5.</w:t>
      </w:r>
    </w:p>
    <w:p>
      <w:pPr>
        <w:spacing w:before="0" w:after="120" w:line="240" w:lineRule="auto"/>
        <w:ind w:left="0" w:firstLine="0"/>
        <w:jc w:val="left"/>
      </w:pPr>
      <w:r>
        <w:rPr>
          <w:rFonts w:ascii="Times New Roman" w:hAnsi="Times New Roman"/>
          <w:i w:val="0"/>
          <w:sz w:val="24"/>
        </w:rPr>
        <w:t xml:space="preserve">KAMARAUSKAS, P. et al. Weekly Fluctuations in, and Associations Between, Salivary Hormone Responses, Load, and Well-Being During the Pre-season in Professional Male Basketball Players. </w:t>
      </w:r>
      <w:r>
        <w:rPr>
          <w:rFonts w:ascii="Times New Roman" w:hAnsi="Times New Roman"/>
          <w:b/>
          <w:sz w:val="24"/>
        </w:rPr>
        <w:t>Journal of Strength &amp; Conditioning Research</w:t>
      </w:r>
      <w:r>
        <w:rPr>
          <w:rFonts w:ascii="Times New Roman" w:hAnsi="Times New Roman"/>
          <w:i w:val="0"/>
          <w:sz w:val="24"/>
        </w:rPr>
        <w:t>, v. 38, n. 1, p. 128-135, 2024. DOI: https://doi.org/10.1519/jsc.0000000000004589.</w:t>
      </w:r>
    </w:p>
    <w:p>
      <w:pPr>
        <w:spacing w:before="0" w:after="120" w:line="240" w:lineRule="auto"/>
        <w:ind w:left="0" w:firstLine="0"/>
        <w:jc w:val="left"/>
      </w:pPr>
      <w:r>
        <w:rPr>
          <w:rFonts w:ascii="Times New Roman" w:hAnsi="Times New Roman"/>
          <w:i w:val="0"/>
          <w:sz w:val="24"/>
        </w:rPr>
        <w:t xml:space="preserve">KARADEMIR, M. B. et al. Relationships among athletes’ challenge and threat perceptions, mindfulness, and anxiety. </w:t>
      </w:r>
      <w:r>
        <w:rPr>
          <w:rFonts w:ascii="Times New Roman" w:hAnsi="Times New Roman"/>
          <w:b/>
          <w:sz w:val="24"/>
        </w:rPr>
        <w:t>Frontiers in Psychology</w:t>
      </w:r>
      <w:r>
        <w:rPr>
          <w:rFonts w:ascii="Times New Roman" w:hAnsi="Times New Roman"/>
          <w:i w:val="0"/>
          <w:sz w:val="24"/>
        </w:rPr>
        <w:t>, v. 17, e1811878, 2026. DOI: https://doi.org/10.3389/fpsyg.2026.1811878.</w:t>
      </w:r>
    </w:p>
    <w:p>
      <w:pPr>
        <w:spacing w:before="0" w:after="120" w:line="240" w:lineRule="auto"/>
        <w:ind w:left="0" w:firstLine="0"/>
        <w:jc w:val="left"/>
      </w:pPr>
      <w:r>
        <w:rPr>
          <w:rFonts w:ascii="Times New Roman" w:hAnsi="Times New Roman"/>
          <w:i w:val="0"/>
          <w:sz w:val="24"/>
        </w:rPr>
        <w:t xml:space="preserve">KELLMANN, M. et al. Recovery and Performance in Sport: Consensus Statement. </w:t>
      </w:r>
      <w:r>
        <w:rPr>
          <w:rFonts w:ascii="Times New Roman" w:hAnsi="Times New Roman"/>
          <w:b/>
          <w:sz w:val="24"/>
        </w:rPr>
        <w:t>International Journal of Sports Physiology and Performance</w:t>
      </w:r>
      <w:r>
        <w:rPr>
          <w:rFonts w:ascii="Times New Roman" w:hAnsi="Times New Roman"/>
          <w:i w:val="0"/>
          <w:sz w:val="24"/>
        </w:rPr>
        <w:t>, v. 13, n. 2, p. 240-245, 2018. DOI: https://doi.org/10.1123/ijspp.2017-0759.</w:t>
      </w:r>
    </w:p>
    <w:p>
      <w:pPr>
        <w:spacing w:before="0" w:after="120" w:line="240" w:lineRule="auto"/>
        <w:ind w:left="0" w:firstLine="0"/>
        <w:jc w:val="left"/>
      </w:pPr>
      <w:r>
        <w:rPr>
          <w:rFonts w:ascii="Times New Roman" w:hAnsi="Times New Roman"/>
          <w:i w:val="0"/>
          <w:sz w:val="24"/>
        </w:rPr>
        <w:t xml:space="preserve">KEW, M. E. et al. Sex Differences in Mental Health Symptoms in Elite Athletes: A Systematic Review and Meta-analysis. </w:t>
      </w:r>
      <w:r>
        <w:rPr>
          <w:rFonts w:ascii="Times New Roman" w:hAnsi="Times New Roman"/>
          <w:b/>
          <w:sz w:val="24"/>
        </w:rPr>
        <w:t>Sports Health: A Multidisciplinary Approach</w:t>
      </w:r>
      <w:r>
        <w:rPr>
          <w:rFonts w:ascii="Times New Roman" w:hAnsi="Times New Roman"/>
          <w:i w:val="0"/>
          <w:sz w:val="24"/>
        </w:rPr>
        <w:t>, v. 17, n. 4, p. 732-743, 2025. DOI: https://doi.org/10.1177/19417381241264491.</w:t>
      </w:r>
    </w:p>
    <w:p>
      <w:pPr>
        <w:spacing w:before="0" w:after="120" w:line="240" w:lineRule="auto"/>
        <w:ind w:left="0" w:firstLine="0"/>
        <w:jc w:val="left"/>
      </w:pPr>
      <w:r>
        <w:rPr>
          <w:rFonts w:ascii="Times New Roman" w:hAnsi="Times New Roman"/>
          <w:i w:val="0"/>
          <w:sz w:val="24"/>
        </w:rPr>
        <w:t xml:space="preserve">KHAZDOZI, G.; BAHARI, S. M.; ASHAYERI, H. Effects of Warming up with Music on Moods and Training Motivation among Athletes. </w:t>
      </w:r>
      <w:r>
        <w:rPr>
          <w:rFonts w:ascii="Times New Roman" w:hAnsi="Times New Roman"/>
          <w:b/>
          <w:sz w:val="24"/>
        </w:rPr>
        <w:t>Journal of History Culture and Art Research</w:t>
      </w:r>
      <w:r>
        <w:rPr>
          <w:rFonts w:ascii="Times New Roman" w:hAnsi="Times New Roman"/>
          <w:i w:val="0"/>
          <w:sz w:val="24"/>
        </w:rPr>
        <w:t>, v. 6, n. 1, e169, 2017. DOI: https://doi.org/10.7596/taksad.v6i1.713.</w:t>
      </w:r>
    </w:p>
    <w:p>
      <w:pPr>
        <w:spacing w:before="0" w:after="120" w:line="240" w:lineRule="auto"/>
        <w:ind w:left="0" w:firstLine="0"/>
        <w:jc w:val="left"/>
      </w:pPr>
      <w:r>
        <w:rPr>
          <w:rFonts w:ascii="Times New Roman" w:hAnsi="Times New Roman"/>
          <w:i w:val="0"/>
          <w:sz w:val="24"/>
        </w:rPr>
        <w:t xml:space="preserve">KUO, L.-T. et al. Exploring mental health symptoms in elite athletes during the COVID-19 pandemic: A systematic review and meta-analysis on sex differences. </w:t>
      </w:r>
      <w:r>
        <w:rPr>
          <w:rFonts w:ascii="Times New Roman" w:hAnsi="Times New Roman"/>
          <w:b/>
          <w:sz w:val="24"/>
        </w:rPr>
        <w:t>PLOS ONE</w:t>
      </w:r>
      <w:r>
        <w:rPr>
          <w:rFonts w:ascii="Times New Roman" w:hAnsi="Times New Roman"/>
          <w:i w:val="0"/>
          <w:sz w:val="24"/>
        </w:rPr>
        <w:t>, v. 20, n. 1, e0314996, 2025. DOI: https://doi.org/10.1371/journal.pone.0314996.</w:t>
      </w:r>
    </w:p>
    <w:p>
      <w:pPr>
        <w:spacing w:before="0" w:after="120" w:line="240" w:lineRule="auto"/>
        <w:ind w:left="0" w:firstLine="0"/>
        <w:jc w:val="left"/>
      </w:pPr>
      <w:r>
        <w:rPr>
          <w:rFonts w:ascii="Times New Roman" w:hAnsi="Times New Roman"/>
          <w:i w:val="0"/>
          <w:sz w:val="24"/>
        </w:rPr>
        <w:t xml:space="preserve">LAGNER, P. et al. Mood effects on memory and executive control in a real-life situation. </w:t>
      </w:r>
      <w:r>
        <w:rPr>
          <w:rFonts w:ascii="Times New Roman" w:hAnsi="Times New Roman"/>
          <w:b/>
          <w:sz w:val="24"/>
        </w:rPr>
        <w:t>Cognition and Emotion</w:t>
      </w:r>
      <w:r>
        <w:rPr>
          <w:rFonts w:ascii="Times New Roman" w:hAnsi="Times New Roman"/>
          <w:i w:val="0"/>
          <w:sz w:val="24"/>
        </w:rPr>
        <w:t>, v. 29, n. 6, p. 1107-1116, 2015. DOI: https://doi.org/10.1080/02699931.2014.962486.</w:t>
      </w:r>
    </w:p>
    <w:p>
      <w:pPr>
        <w:spacing w:before="0" w:after="120" w:line="240" w:lineRule="auto"/>
        <w:ind w:left="0" w:firstLine="0"/>
        <w:jc w:val="left"/>
      </w:pPr>
      <w:r>
        <w:rPr>
          <w:rFonts w:ascii="Times New Roman" w:hAnsi="Times New Roman"/>
          <w:i w:val="0"/>
          <w:sz w:val="24"/>
        </w:rPr>
        <w:t xml:space="preserve">LAKICEVIC, N. et al. Rapid weight loss and mood states in judo athletes: A systematic review. </w:t>
      </w:r>
      <w:r>
        <w:rPr>
          <w:rFonts w:ascii="Times New Roman" w:hAnsi="Times New Roman"/>
          <w:b/>
          <w:sz w:val="24"/>
        </w:rPr>
        <w:t>European Review of Applied Psychology</w:t>
      </w:r>
      <w:r>
        <w:rPr>
          <w:rFonts w:ascii="Times New Roman" w:hAnsi="Times New Roman"/>
          <w:i w:val="0"/>
          <w:sz w:val="24"/>
        </w:rPr>
        <w:t>, v. 74, n. 4, e100933, 2024. DOI: https://doi.org/10.1016/j.erap.2023.100933.</w:t>
      </w:r>
    </w:p>
    <w:p>
      <w:pPr>
        <w:spacing w:before="0" w:after="120" w:line="240" w:lineRule="auto"/>
        <w:ind w:left="0" w:firstLine="0"/>
        <w:jc w:val="left"/>
      </w:pPr>
      <w:r>
        <w:rPr>
          <w:rFonts w:ascii="Times New Roman" w:hAnsi="Times New Roman"/>
          <w:i w:val="0"/>
          <w:sz w:val="24"/>
        </w:rPr>
        <w:t xml:space="preserve">LANDIS, J. R.; KOCH, G. G. The Measurement of Observer Agreement for Categorical Data. </w:t>
      </w:r>
      <w:r>
        <w:rPr>
          <w:rFonts w:ascii="Times New Roman" w:hAnsi="Times New Roman"/>
          <w:b/>
          <w:sz w:val="24"/>
        </w:rPr>
        <w:t>Biometrics</w:t>
      </w:r>
      <w:r>
        <w:rPr>
          <w:rFonts w:ascii="Times New Roman" w:hAnsi="Times New Roman"/>
          <w:i w:val="0"/>
          <w:sz w:val="24"/>
        </w:rPr>
        <w:t>, v. 33, n. 1, e159, 1977. DOI: https://doi.org/10.2307/2529310.</w:t>
      </w:r>
    </w:p>
    <w:p>
      <w:pPr>
        <w:spacing w:before="0" w:after="120" w:line="240" w:lineRule="auto"/>
        <w:ind w:left="0" w:firstLine="0"/>
        <w:jc w:val="left"/>
      </w:pPr>
      <w:r>
        <w:rPr>
          <w:rFonts w:ascii="Times New Roman" w:hAnsi="Times New Roman"/>
          <w:i w:val="0"/>
          <w:sz w:val="24"/>
        </w:rPr>
        <w:t xml:space="preserve">LANE, A. M.; TERRY, P. C. The Nature of Mood: Development of a Conceptual Model with a Focus on Depression. </w:t>
      </w:r>
      <w:r>
        <w:rPr>
          <w:rFonts w:ascii="Times New Roman" w:hAnsi="Times New Roman"/>
          <w:b/>
          <w:sz w:val="24"/>
        </w:rPr>
        <w:t>Journal of Applied Sport Psychology</w:t>
      </w:r>
      <w:r>
        <w:rPr>
          <w:rFonts w:ascii="Times New Roman" w:hAnsi="Times New Roman"/>
          <w:i w:val="0"/>
          <w:sz w:val="24"/>
        </w:rPr>
        <w:t>, v. 12, n. 1, p. 16-33, 2000. DOI: https://doi.org/10.1080/10413200008404211.</w:t>
      </w:r>
    </w:p>
    <w:p>
      <w:pPr>
        <w:spacing w:before="0" w:after="120" w:line="240" w:lineRule="auto"/>
        <w:ind w:left="0" w:firstLine="0"/>
        <w:jc w:val="left"/>
      </w:pPr>
      <w:r>
        <w:rPr>
          <w:rFonts w:ascii="Times New Roman" w:hAnsi="Times New Roman"/>
          <w:i w:val="0"/>
          <w:sz w:val="24"/>
        </w:rPr>
        <w:t xml:space="preserve">LAZARUS, R. S. How Emotions Influence Performance in Competitive Sports. </w:t>
      </w:r>
      <w:r>
        <w:rPr>
          <w:rFonts w:ascii="Times New Roman" w:hAnsi="Times New Roman"/>
          <w:b/>
          <w:sz w:val="24"/>
        </w:rPr>
        <w:t>The Sport Psychologist</w:t>
      </w:r>
      <w:r>
        <w:rPr>
          <w:rFonts w:ascii="Times New Roman" w:hAnsi="Times New Roman"/>
          <w:i w:val="0"/>
          <w:sz w:val="24"/>
        </w:rPr>
        <w:t>, v. 14, n. 3, p. 229-252, 2000. DOI: https://doi.org/10.1123/tsp.14.3.229.</w:t>
      </w:r>
    </w:p>
    <w:p>
      <w:pPr>
        <w:spacing w:before="0" w:after="120" w:line="240" w:lineRule="auto"/>
        <w:ind w:left="0" w:firstLine="0"/>
        <w:jc w:val="left"/>
      </w:pPr>
      <w:r>
        <w:rPr>
          <w:rFonts w:ascii="Times New Roman" w:hAnsi="Times New Roman"/>
          <w:i w:val="0"/>
          <w:sz w:val="24"/>
        </w:rPr>
        <w:t xml:space="preserve">LI, J.; LU, J.; FANG, D. The impact of mindfulness intervention on emotion regulation in athletes: a meta-analysis. </w:t>
      </w:r>
      <w:r>
        <w:rPr>
          <w:rFonts w:ascii="Times New Roman" w:hAnsi="Times New Roman"/>
          <w:b/>
          <w:sz w:val="24"/>
        </w:rPr>
        <w:t>Frontiers in Psychology</w:t>
      </w:r>
      <w:r>
        <w:rPr>
          <w:rFonts w:ascii="Times New Roman" w:hAnsi="Times New Roman"/>
          <w:i w:val="0"/>
          <w:sz w:val="24"/>
        </w:rPr>
        <w:t>, v. 17, e1875000, 2026. DOI: https://doi.org/10.3389/fpsyg.2026.1875000.</w:t>
      </w:r>
    </w:p>
    <w:p>
      <w:pPr>
        <w:spacing w:before="0" w:after="120" w:line="240" w:lineRule="auto"/>
        <w:ind w:left="0" w:firstLine="0"/>
        <w:jc w:val="left"/>
      </w:pPr>
      <w:r>
        <w:rPr>
          <w:rFonts w:ascii="Times New Roman" w:hAnsi="Times New Roman"/>
          <w:i w:val="0"/>
          <w:sz w:val="24"/>
        </w:rPr>
        <w:t xml:space="preserve">LINDMAN, I.; ABRAHAMSON, J. High Injury Incidence Among Youth in the World's Largest Handball Tournament: A Prospective Observational Study of 17 034 Participants. </w:t>
      </w:r>
      <w:r>
        <w:rPr>
          <w:rFonts w:ascii="Times New Roman" w:hAnsi="Times New Roman"/>
          <w:b/>
          <w:sz w:val="24"/>
        </w:rPr>
        <w:t>Scandinavian Journal of Medicine &amp; Science in Sports</w:t>
      </w:r>
      <w:r>
        <w:rPr>
          <w:rFonts w:ascii="Times New Roman" w:hAnsi="Times New Roman"/>
          <w:i w:val="0"/>
          <w:sz w:val="24"/>
        </w:rPr>
        <w:t>, v. 36, n. 4, e70285, 2026. DOI: https://doi.org/10.1111/sms.70285.</w:t>
      </w:r>
    </w:p>
    <w:p>
      <w:pPr>
        <w:spacing w:before="0" w:after="120" w:line="240" w:lineRule="auto"/>
        <w:ind w:left="0" w:firstLine="0"/>
        <w:jc w:val="left"/>
      </w:pPr>
      <w:r>
        <w:rPr>
          <w:rFonts w:ascii="Times New Roman" w:hAnsi="Times New Roman"/>
          <w:i w:val="0"/>
          <w:sz w:val="24"/>
        </w:rPr>
        <w:t xml:space="preserve">LISENCHUK, G. et al. Analysis of psychological state of qualified female handball players depending on the phase of the ovarian-menstrual cycle. </w:t>
      </w:r>
      <w:r>
        <w:rPr>
          <w:rFonts w:ascii="Times New Roman" w:hAnsi="Times New Roman"/>
          <w:b/>
          <w:sz w:val="24"/>
        </w:rPr>
        <w:t>Journal of Physical Education and Sport</w:t>
      </w:r>
      <w:r>
        <w:rPr>
          <w:rFonts w:ascii="Times New Roman" w:hAnsi="Times New Roman"/>
          <w:i w:val="0"/>
          <w:sz w:val="24"/>
        </w:rPr>
        <w:t>, v. 19, supl. 3, art. 115, p. 808-812, 2019. DOI: https://doi.org/10.7752/jpes.2019.s3115.</w:t>
      </w:r>
    </w:p>
    <w:p>
      <w:pPr>
        <w:spacing w:before="0" w:after="120" w:line="240" w:lineRule="auto"/>
        <w:ind w:left="0" w:firstLine="0"/>
        <w:jc w:val="left"/>
      </w:pPr>
      <w:r>
        <w:rPr>
          <w:rFonts w:ascii="Times New Roman" w:hAnsi="Times New Roman"/>
          <w:i w:val="0"/>
          <w:sz w:val="24"/>
        </w:rPr>
        <w:t xml:space="preserve">LO, M. et al. The impact of matches and travel on rugby players’ sleep, wellness and training. </w:t>
      </w:r>
      <w:r>
        <w:rPr>
          <w:rFonts w:ascii="Times New Roman" w:hAnsi="Times New Roman"/>
          <w:b/>
          <w:sz w:val="24"/>
        </w:rPr>
        <w:t>PLOS ONE</w:t>
      </w:r>
      <w:r>
        <w:rPr>
          <w:rFonts w:ascii="Times New Roman" w:hAnsi="Times New Roman"/>
          <w:i w:val="0"/>
          <w:sz w:val="24"/>
        </w:rPr>
        <w:t>, v. 17, n. 2, e0261517, 2022. DOI: https://doi.org/10.1371/journal.pone.0261517.</w:t>
      </w:r>
    </w:p>
    <w:p>
      <w:pPr>
        <w:spacing w:before="0" w:after="120" w:line="240" w:lineRule="auto"/>
        <w:ind w:left="0" w:firstLine="0"/>
        <w:jc w:val="left"/>
      </w:pPr>
      <w:r>
        <w:rPr>
          <w:rFonts w:ascii="Times New Roman" w:hAnsi="Times New Roman"/>
          <w:i w:val="0"/>
          <w:sz w:val="24"/>
        </w:rPr>
        <w:t xml:space="preserve">LOCHBAUM, M. et al. Sport psychology and performance meta-analyses: A systematic review of the literature. </w:t>
      </w:r>
      <w:r>
        <w:rPr>
          <w:rFonts w:ascii="Times New Roman" w:hAnsi="Times New Roman"/>
          <w:b/>
          <w:sz w:val="24"/>
        </w:rPr>
        <w:t>PLOS ONE</w:t>
      </w:r>
      <w:r>
        <w:rPr>
          <w:rFonts w:ascii="Times New Roman" w:hAnsi="Times New Roman"/>
          <w:i w:val="0"/>
          <w:sz w:val="24"/>
        </w:rPr>
        <w:t>, v. 17, n. 2, e0263408, 2022. DOI: https://doi.org/10.1371/journal.pone.0263408.</w:t>
      </w:r>
    </w:p>
    <w:p>
      <w:pPr>
        <w:spacing w:before="0" w:after="120" w:line="240" w:lineRule="auto"/>
        <w:ind w:left="0" w:firstLine="0"/>
        <w:jc w:val="left"/>
      </w:pPr>
      <w:r>
        <w:rPr>
          <w:rFonts w:ascii="Times New Roman" w:hAnsi="Times New Roman"/>
          <w:i w:val="0"/>
          <w:sz w:val="24"/>
        </w:rPr>
        <w:t xml:space="preserve">LOCHBAUM, M. et al. The Profile of Moods States and Athletic Performance: A Meta-Analysis of Published Studies. </w:t>
      </w:r>
      <w:r>
        <w:rPr>
          <w:rFonts w:ascii="Times New Roman" w:hAnsi="Times New Roman"/>
          <w:b/>
          <w:sz w:val="24"/>
        </w:rPr>
        <w:t>European Journal of Investigation in Health, Psychology and Education</w:t>
      </w:r>
      <w:r>
        <w:rPr>
          <w:rFonts w:ascii="Times New Roman" w:hAnsi="Times New Roman"/>
          <w:i w:val="0"/>
          <w:sz w:val="24"/>
        </w:rPr>
        <w:t>, v. 11, n. 1, p. 50-70, 2021. DOI: https://doi.org/10.3390/ejihpe11010005.</w:t>
      </w:r>
    </w:p>
    <w:p>
      <w:pPr>
        <w:spacing w:before="0" w:after="120" w:line="240" w:lineRule="auto"/>
        <w:ind w:left="0" w:firstLine="0"/>
        <w:jc w:val="left"/>
      </w:pPr>
      <w:r>
        <w:rPr>
          <w:rFonts w:ascii="Times New Roman" w:hAnsi="Times New Roman"/>
          <w:i w:val="0"/>
          <w:sz w:val="24"/>
        </w:rPr>
        <w:t xml:space="preserve">LOCHBAUM, M.; SISNEROS, C. A Systematic Review with a Meta-Analysis of the Motivational Climate and Hedonic Well-Being Constructs: The Importance of the Athlete Level. </w:t>
      </w:r>
      <w:r>
        <w:rPr>
          <w:rFonts w:ascii="Times New Roman" w:hAnsi="Times New Roman"/>
          <w:b/>
          <w:sz w:val="24"/>
        </w:rPr>
        <w:t>European Journal of Investigation in Health, Psychology and Education</w:t>
      </w:r>
      <w:r>
        <w:rPr>
          <w:rFonts w:ascii="Times New Roman" w:hAnsi="Times New Roman"/>
          <w:i w:val="0"/>
          <w:sz w:val="24"/>
        </w:rPr>
        <w:t>, v. 14, n. 4, p. 976-1001, 2024. DOI: https://doi.org/10.3390/ejihpe14040064.</w:t>
      </w:r>
    </w:p>
    <w:p>
      <w:pPr>
        <w:spacing w:before="0" w:after="120" w:line="240" w:lineRule="auto"/>
        <w:ind w:left="0" w:firstLine="0"/>
        <w:jc w:val="left"/>
      </w:pPr>
      <w:r>
        <w:rPr>
          <w:rFonts w:ascii="Times New Roman" w:hAnsi="Times New Roman"/>
          <w:i w:val="0"/>
          <w:sz w:val="24"/>
        </w:rPr>
        <w:t xml:space="preserve">LUJIC, M.; PRSKALO, I.; BRATKO, D. difference in well-being between handball players and ones not physically active. </w:t>
      </w:r>
      <w:r>
        <w:rPr>
          <w:rFonts w:ascii="Times New Roman" w:hAnsi="Times New Roman"/>
          <w:b/>
          <w:sz w:val="24"/>
        </w:rPr>
        <w:t>Scientific Journal of Sport and Performance</w:t>
      </w:r>
      <w:r>
        <w:rPr>
          <w:rFonts w:ascii="Times New Roman" w:hAnsi="Times New Roman"/>
          <w:i w:val="0"/>
          <w:sz w:val="24"/>
        </w:rPr>
        <w:t>, v. 2, n. 2, p. 144-150, 2023. DOI: https://doi.org/10.55860/fhsl7752.</w:t>
      </w:r>
    </w:p>
    <w:p>
      <w:pPr>
        <w:spacing w:before="0" w:after="120" w:line="240" w:lineRule="auto"/>
        <w:ind w:left="0" w:firstLine="0"/>
        <w:jc w:val="left"/>
      </w:pPr>
      <w:r>
        <w:rPr>
          <w:rFonts w:ascii="Times New Roman" w:hAnsi="Times New Roman"/>
          <w:i w:val="0"/>
          <w:sz w:val="24"/>
        </w:rPr>
        <w:t xml:space="preserve">LUO, J. et al. The relationship between social support and mental health in athletes: a systematic review and meta-analysis. </w:t>
      </w:r>
      <w:r>
        <w:rPr>
          <w:rFonts w:ascii="Times New Roman" w:hAnsi="Times New Roman"/>
          <w:b/>
          <w:sz w:val="24"/>
        </w:rPr>
        <w:t>Frontiers in Psychology</w:t>
      </w:r>
      <w:r>
        <w:rPr>
          <w:rFonts w:ascii="Times New Roman" w:hAnsi="Times New Roman"/>
          <w:i w:val="0"/>
          <w:sz w:val="24"/>
        </w:rPr>
        <w:t>, v. 16, e1642886, 2025. DOI: https://doi.org/10.3389/fpsyg.2025.1642886.</w:t>
      </w:r>
    </w:p>
    <w:p>
      <w:pPr>
        <w:spacing w:before="0" w:after="120" w:line="240" w:lineRule="auto"/>
        <w:ind w:left="0" w:firstLine="0"/>
        <w:jc w:val="left"/>
      </w:pPr>
      <w:r>
        <w:rPr>
          <w:rFonts w:ascii="Times New Roman" w:hAnsi="Times New Roman"/>
          <w:i w:val="0"/>
          <w:sz w:val="24"/>
        </w:rPr>
        <w:t xml:space="preserve">LUOJUMÄKI, R. J. et al. Exploring Mood Profile Clusters Across Physical Activity Level, Gender and Age in a Finnish Population. </w:t>
      </w:r>
      <w:r>
        <w:rPr>
          <w:rFonts w:ascii="Times New Roman" w:hAnsi="Times New Roman"/>
          <w:b/>
          <w:sz w:val="24"/>
        </w:rPr>
        <w:t>European Journal of Sport Science</w:t>
      </w:r>
      <w:r>
        <w:rPr>
          <w:rFonts w:ascii="Times New Roman" w:hAnsi="Times New Roman"/>
          <w:i w:val="0"/>
          <w:sz w:val="24"/>
        </w:rPr>
        <w:t>, v. 26, n. 2, e70131, 2026. DOI: https://doi.org/10.1002/ejsc.70131.</w:t>
      </w:r>
    </w:p>
    <w:p>
      <w:pPr>
        <w:spacing w:before="0" w:after="120" w:line="240" w:lineRule="auto"/>
        <w:ind w:left="0" w:firstLine="0"/>
        <w:jc w:val="left"/>
      </w:pPr>
      <w:r>
        <w:rPr>
          <w:rFonts w:ascii="Times New Roman" w:hAnsi="Times New Roman"/>
          <w:i w:val="0"/>
          <w:sz w:val="24"/>
        </w:rPr>
        <w:t xml:space="preserve">MACEDO, L. et al. Playing without goalkeeper: the use of an empty goal in high-performance men’s handball. </w:t>
      </w:r>
      <w:r>
        <w:rPr>
          <w:rFonts w:ascii="Times New Roman" w:hAnsi="Times New Roman"/>
          <w:b/>
          <w:sz w:val="24"/>
        </w:rPr>
        <w:t>International Journal of Performance Analysis in Sport</w:t>
      </w:r>
      <w:r>
        <w:rPr>
          <w:rFonts w:ascii="Times New Roman" w:hAnsi="Times New Roman"/>
          <w:i w:val="0"/>
          <w:sz w:val="24"/>
        </w:rPr>
        <w:t>, v. 25, n. 6, p. 1189-1207, 2025. DOI: https://doi.org/10.1080/24748668.2024.2354109.</w:t>
      </w:r>
    </w:p>
    <w:p>
      <w:pPr>
        <w:spacing w:before="0" w:after="120" w:line="240" w:lineRule="auto"/>
        <w:ind w:left="0" w:firstLine="0"/>
        <w:jc w:val="left"/>
      </w:pPr>
      <w:r>
        <w:rPr>
          <w:rFonts w:ascii="Times New Roman" w:hAnsi="Times New Roman"/>
          <w:i w:val="0"/>
          <w:sz w:val="24"/>
        </w:rPr>
        <w:t xml:space="preserve">MAJER, M. L. L. et al. Examining the use of experience sampling methods in sport psychology research: a scoping review. </w:t>
      </w:r>
      <w:r>
        <w:rPr>
          <w:rFonts w:ascii="Times New Roman" w:hAnsi="Times New Roman"/>
          <w:b/>
          <w:sz w:val="24"/>
        </w:rPr>
        <w:t>Frontiers in Psychology</w:t>
      </w:r>
      <w:r>
        <w:rPr>
          <w:rFonts w:ascii="Times New Roman" w:hAnsi="Times New Roman"/>
          <w:i w:val="0"/>
          <w:sz w:val="24"/>
        </w:rPr>
        <w:t>, v. 17, e1860704, 2026. DOI: https://doi.org/10.3389/fpsyg.2026.1860704.</w:t>
      </w:r>
    </w:p>
    <w:p>
      <w:pPr>
        <w:spacing w:before="0" w:after="120" w:line="240" w:lineRule="auto"/>
        <w:ind w:left="0" w:firstLine="0"/>
        <w:jc w:val="left"/>
      </w:pPr>
      <w:r>
        <w:rPr>
          <w:rFonts w:ascii="Times New Roman" w:hAnsi="Times New Roman"/>
          <w:i w:val="0"/>
          <w:sz w:val="24"/>
        </w:rPr>
        <w:t xml:space="preserve">MARTIN-LÓPEZ, J. et al. Influence of time-of-day on neuromuscular performance in team sport athletes: a systematic review and meta-analysis. </w:t>
      </w:r>
      <w:r>
        <w:rPr>
          <w:rFonts w:ascii="Times New Roman" w:hAnsi="Times New Roman"/>
          <w:b/>
          <w:sz w:val="24"/>
        </w:rPr>
        <w:t>Frontiers in Sports and Active Living</w:t>
      </w:r>
      <w:r>
        <w:rPr>
          <w:rFonts w:ascii="Times New Roman" w:hAnsi="Times New Roman"/>
          <w:i w:val="0"/>
          <w:sz w:val="24"/>
        </w:rPr>
        <w:t>, v. 6, e1466050, 2025. DOI: https://doi.org/10.3389/fspor.2024.1466050.</w:t>
      </w:r>
    </w:p>
    <w:p>
      <w:pPr>
        <w:spacing w:before="0" w:after="120" w:line="240" w:lineRule="auto"/>
        <w:ind w:left="0" w:firstLine="0"/>
        <w:jc w:val="left"/>
      </w:pPr>
      <w:r>
        <w:rPr>
          <w:rFonts w:ascii="Times New Roman" w:hAnsi="Times New Roman"/>
          <w:i w:val="0"/>
          <w:sz w:val="24"/>
        </w:rPr>
        <w:t xml:space="preserve">MCHUGH, M. L. Interrater reliability: the kappa statistic. </w:t>
      </w:r>
      <w:r>
        <w:rPr>
          <w:rFonts w:ascii="Times New Roman" w:hAnsi="Times New Roman"/>
          <w:b/>
          <w:sz w:val="24"/>
        </w:rPr>
        <w:t>Biochemia Medica</w:t>
      </w:r>
      <w:r>
        <w:rPr>
          <w:rFonts w:ascii="Times New Roman" w:hAnsi="Times New Roman"/>
          <w:i w:val="0"/>
          <w:sz w:val="24"/>
        </w:rPr>
        <w:t>, p. 276-282, 2012. DOI: https://doi.org/10.11613/bm.2012.031.</w:t>
      </w:r>
    </w:p>
    <w:p>
      <w:pPr>
        <w:spacing w:before="0" w:after="120" w:line="240" w:lineRule="auto"/>
        <w:ind w:left="0" w:firstLine="0"/>
        <w:jc w:val="left"/>
      </w:pPr>
      <w:r>
        <w:rPr>
          <w:rFonts w:ascii="Times New Roman" w:hAnsi="Times New Roman"/>
          <w:i w:val="0"/>
          <w:sz w:val="24"/>
        </w:rPr>
        <w:t xml:space="preserve">MEIGNIÉ, A. et al. The Effects of Menstrual Cycle Phase on Elite Athlete Performance: A Critical and Systematic Review. </w:t>
      </w:r>
      <w:r>
        <w:rPr>
          <w:rFonts w:ascii="Times New Roman" w:hAnsi="Times New Roman"/>
          <w:b/>
          <w:sz w:val="24"/>
        </w:rPr>
        <w:t>Frontiers in Physiology</w:t>
      </w:r>
      <w:r>
        <w:rPr>
          <w:rFonts w:ascii="Times New Roman" w:hAnsi="Times New Roman"/>
          <w:i w:val="0"/>
          <w:sz w:val="24"/>
        </w:rPr>
        <w:t>, v. 12, e654585, 2021. DOI: https://doi.org/10.3389/fphys.2021.654585.</w:t>
      </w:r>
    </w:p>
    <w:p>
      <w:pPr>
        <w:spacing w:before="0" w:after="120" w:line="240" w:lineRule="auto"/>
        <w:ind w:left="0" w:firstLine="0"/>
        <w:jc w:val="left"/>
      </w:pPr>
      <w:r>
        <w:rPr>
          <w:rFonts w:ascii="Times New Roman" w:hAnsi="Times New Roman"/>
          <w:i w:val="0"/>
          <w:sz w:val="24"/>
        </w:rPr>
        <w:t xml:space="preserve">MEYERS, S.; TAMIR, M. Emotion Regulation Versus Mood Regulation. </w:t>
      </w:r>
      <w:r>
        <w:rPr>
          <w:rFonts w:ascii="Times New Roman" w:hAnsi="Times New Roman"/>
          <w:b/>
          <w:sz w:val="24"/>
        </w:rPr>
        <w:t>Emotion Review</w:t>
      </w:r>
      <w:r>
        <w:rPr>
          <w:rFonts w:ascii="Times New Roman" w:hAnsi="Times New Roman"/>
          <w:i w:val="0"/>
          <w:sz w:val="24"/>
        </w:rPr>
        <w:t>, v. 16, n. 3, p. 151-161, 2024. DOI: https://doi.org/10.1177/17540739241259559.</w:t>
      </w:r>
    </w:p>
    <w:p>
      <w:pPr>
        <w:spacing w:before="0" w:after="120" w:line="240" w:lineRule="auto"/>
        <w:ind w:left="0" w:firstLine="0"/>
        <w:jc w:val="left"/>
      </w:pPr>
      <w:r>
        <w:rPr>
          <w:rFonts w:ascii="Times New Roman" w:hAnsi="Times New Roman"/>
          <w:i w:val="0"/>
          <w:sz w:val="24"/>
        </w:rPr>
        <w:t xml:space="preserve">MICHALSIK, L.; AAGAARD, P.; MADSEN, K. Locomotion Characteristics and Match-Induced Impairments in Physical Performance in Male Elite Team Handball Players. </w:t>
      </w:r>
      <w:r>
        <w:rPr>
          <w:rFonts w:ascii="Times New Roman" w:hAnsi="Times New Roman"/>
          <w:b/>
          <w:sz w:val="24"/>
        </w:rPr>
        <w:t>International Journal of Sports Medicine</w:t>
      </w:r>
      <w:r>
        <w:rPr>
          <w:rFonts w:ascii="Times New Roman" w:hAnsi="Times New Roman"/>
          <w:i w:val="0"/>
          <w:sz w:val="24"/>
        </w:rPr>
        <w:t>, v. 34, n. 07, p. 590-599, 2012. DOI: https://doi.org/10.1055/s-0032-1329989.</w:t>
      </w:r>
    </w:p>
    <w:p>
      <w:pPr>
        <w:spacing w:before="0" w:after="120" w:line="240" w:lineRule="auto"/>
        <w:ind w:left="0" w:firstLine="0"/>
        <w:jc w:val="left"/>
      </w:pPr>
      <w:r>
        <w:rPr>
          <w:rFonts w:ascii="Times New Roman" w:hAnsi="Times New Roman"/>
          <w:i w:val="0"/>
          <w:sz w:val="24"/>
        </w:rPr>
        <w:t xml:space="preserve">MIRALLES-AMORÓS, L. et al. Study of Different Personalised Dietary Plans on Eating Behaviour, Body Image and Mood in Young Female Professional Handball Players: A Randomised Controlled Trial. </w:t>
      </w:r>
      <w:r>
        <w:rPr>
          <w:rFonts w:ascii="Times New Roman" w:hAnsi="Times New Roman"/>
          <w:b/>
          <w:sz w:val="24"/>
        </w:rPr>
        <w:t>Children</w:t>
      </w:r>
      <w:r>
        <w:rPr>
          <w:rFonts w:ascii="Times New Roman" w:hAnsi="Times New Roman"/>
          <w:i w:val="0"/>
          <w:sz w:val="24"/>
        </w:rPr>
        <w:t>, v. 10, n. 2, e259, 2023. DOI: https://doi.org/10.3390/children10020259.</w:t>
      </w:r>
    </w:p>
    <w:p>
      <w:pPr>
        <w:spacing w:before="0" w:after="120" w:line="240" w:lineRule="auto"/>
        <w:ind w:left="0" w:firstLine="0"/>
        <w:jc w:val="left"/>
      </w:pPr>
      <w:r>
        <w:rPr>
          <w:rFonts w:ascii="Times New Roman" w:hAnsi="Times New Roman"/>
          <w:i w:val="0"/>
          <w:sz w:val="24"/>
        </w:rPr>
        <w:t xml:space="preserve">MON-LÓPEZ, D. et al. The Impact of Covid-19 and the Effect of Psychological Factors on Training Conditions of Handball Players. </w:t>
      </w:r>
      <w:r>
        <w:rPr>
          <w:rFonts w:ascii="Times New Roman" w:hAnsi="Times New Roman"/>
          <w:b/>
          <w:sz w:val="24"/>
        </w:rPr>
        <w:t>International Journal of Environmental Research and Public Health</w:t>
      </w:r>
      <w:r>
        <w:rPr>
          <w:rFonts w:ascii="Times New Roman" w:hAnsi="Times New Roman"/>
          <w:i w:val="0"/>
          <w:sz w:val="24"/>
        </w:rPr>
        <w:t>, v. 17, n. 18, e6471, 2020. DOI: https://doi.org/10.3390/ijerph17186471.</w:t>
      </w:r>
    </w:p>
    <w:p>
      <w:pPr>
        <w:spacing w:before="0" w:after="120" w:line="240" w:lineRule="auto"/>
        <w:ind w:left="0" w:firstLine="0"/>
        <w:jc w:val="left"/>
      </w:pPr>
      <w:r>
        <w:rPr>
          <w:rFonts w:ascii="Times New Roman" w:hAnsi="Times New Roman"/>
          <w:i w:val="0"/>
          <w:sz w:val="24"/>
        </w:rPr>
        <w:t xml:space="preserve">MONTES, F. A.; GOMES, S. C. Correlação entre resistência anaeróbia e estados de humor ao longo de uma temporada na modalidade handebol. </w:t>
      </w:r>
      <w:r>
        <w:rPr>
          <w:rFonts w:ascii="Times New Roman" w:hAnsi="Times New Roman"/>
          <w:b/>
          <w:sz w:val="24"/>
        </w:rPr>
        <w:t>UNOPAR Científica Ciências Biológicas e da Saúde</w:t>
      </w:r>
      <w:r>
        <w:rPr>
          <w:rFonts w:ascii="Times New Roman" w:hAnsi="Times New Roman"/>
          <w:i w:val="0"/>
          <w:sz w:val="24"/>
        </w:rPr>
        <w:t>, v. 16, n. 2, p. 83-86, 2014.</w:t>
      </w:r>
    </w:p>
    <w:p>
      <w:pPr>
        <w:spacing w:before="0" w:after="120" w:line="240" w:lineRule="auto"/>
        <w:ind w:left="0" w:firstLine="0"/>
        <w:jc w:val="left"/>
      </w:pPr>
      <w:r>
        <w:rPr>
          <w:rFonts w:ascii="Times New Roman" w:hAnsi="Times New Roman"/>
          <w:i w:val="0"/>
          <w:sz w:val="24"/>
        </w:rPr>
        <w:t xml:space="preserve">MORENAS-AGUILAR, M. et al. The menstrual cycle does not influence vertical jump performance or throwing velocity in amateur team handball players. </w:t>
      </w:r>
      <w:r>
        <w:rPr>
          <w:rFonts w:ascii="Times New Roman" w:hAnsi="Times New Roman"/>
          <w:b/>
          <w:sz w:val="24"/>
        </w:rPr>
        <w:t>Science &amp; Sports</w:t>
      </w:r>
      <w:r>
        <w:rPr>
          <w:rFonts w:ascii="Times New Roman" w:hAnsi="Times New Roman"/>
          <w:i w:val="0"/>
          <w:sz w:val="24"/>
        </w:rPr>
        <w:t>, v. 38, n. 2, p. 211-215, 2023. DOI: https://doi.org/10.1016/j.scispo.2022.02.008.</w:t>
      </w:r>
    </w:p>
    <w:p>
      <w:pPr>
        <w:spacing w:before="0" w:after="120" w:line="240" w:lineRule="auto"/>
        <w:ind w:left="0" w:firstLine="0"/>
        <w:jc w:val="left"/>
      </w:pPr>
      <w:r>
        <w:rPr>
          <w:rFonts w:ascii="Times New Roman" w:hAnsi="Times New Roman"/>
          <w:i w:val="0"/>
          <w:sz w:val="24"/>
        </w:rPr>
        <w:t xml:space="preserve">MORGAN, W. P. et al. Psychological monitoring of overtraining and staleness. </w:t>
      </w:r>
      <w:r>
        <w:rPr>
          <w:rFonts w:ascii="Times New Roman" w:hAnsi="Times New Roman"/>
          <w:b/>
          <w:sz w:val="24"/>
        </w:rPr>
        <w:t>British Journal of Sports Medicine</w:t>
      </w:r>
      <w:r>
        <w:rPr>
          <w:rFonts w:ascii="Times New Roman" w:hAnsi="Times New Roman"/>
          <w:i w:val="0"/>
          <w:sz w:val="24"/>
        </w:rPr>
        <w:t>, v. 21, n. 3, p. 107-114, 1987. DOI: https://doi.org/10.1136/bjsm.21.3.107.</w:t>
      </w:r>
    </w:p>
    <w:p>
      <w:pPr>
        <w:spacing w:before="0" w:after="120" w:line="240" w:lineRule="auto"/>
        <w:ind w:left="0" w:firstLine="0"/>
        <w:jc w:val="left"/>
      </w:pPr>
      <w:r>
        <w:rPr>
          <w:rFonts w:ascii="Times New Roman" w:hAnsi="Times New Roman"/>
          <w:i w:val="0"/>
          <w:sz w:val="24"/>
        </w:rPr>
        <w:t xml:space="preserve">MOUNTJOY, M. et al. 2023 International Olympic Committee’s (IOC) consensus statement on Relative Energy Deficiency in Sport (REDs). </w:t>
      </w:r>
      <w:r>
        <w:rPr>
          <w:rFonts w:ascii="Times New Roman" w:hAnsi="Times New Roman"/>
          <w:b/>
          <w:sz w:val="24"/>
        </w:rPr>
        <w:t>British Journal of Sports Medicine</w:t>
      </w:r>
      <w:r>
        <w:rPr>
          <w:rFonts w:ascii="Times New Roman" w:hAnsi="Times New Roman"/>
          <w:i w:val="0"/>
          <w:sz w:val="24"/>
        </w:rPr>
        <w:t>, v. 57, n. 17, p. 1073-1098, 2023. DOI: https://doi.org/10.1136/bjsports-2023-106994.</w:t>
      </w:r>
    </w:p>
    <w:p>
      <w:pPr>
        <w:spacing w:before="0" w:after="120" w:line="240" w:lineRule="auto"/>
        <w:ind w:left="0" w:firstLine="0"/>
        <w:jc w:val="left"/>
      </w:pPr>
      <w:r>
        <w:rPr>
          <w:rFonts w:ascii="Times New Roman" w:hAnsi="Times New Roman"/>
          <w:i w:val="0"/>
          <w:sz w:val="24"/>
        </w:rPr>
        <w:t xml:space="preserve">MUNN, Z. et al. Systematic review or scoping review? Guidance for authors when choosing between a systematic or scoping review approach. </w:t>
      </w:r>
      <w:r>
        <w:rPr>
          <w:rFonts w:ascii="Times New Roman" w:hAnsi="Times New Roman"/>
          <w:b/>
          <w:sz w:val="24"/>
        </w:rPr>
        <w:t>BMC Medical Research Methodology</w:t>
      </w:r>
      <w:r>
        <w:rPr>
          <w:rFonts w:ascii="Times New Roman" w:hAnsi="Times New Roman"/>
          <w:i w:val="0"/>
          <w:sz w:val="24"/>
        </w:rPr>
        <w:t>, v. 18, n. 1, e143, 2018a. DOI: https://doi.org/10.1186/s12874-018-0611-x.</w:t>
      </w:r>
    </w:p>
    <w:p>
      <w:pPr>
        <w:spacing w:before="0" w:after="120" w:line="240" w:lineRule="auto"/>
        <w:ind w:left="0" w:firstLine="0"/>
        <w:jc w:val="left"/>
      </w:pPr>
      <w:r>
        <w:rPr>
          <w:rFonts w:ascii="Times New Roman" w:hAnsi="Times New Roman"/>
          <w:i w:val="0"/>
          <w:sz w:val="24"/>
        </w:rPr>
        <w:t xml:space="preserve">MUNN, Z. et al. What kind of systematic review should I conduct? A proposed typology and guidance for systematic reviewers in the medical and health sciences. </w:t>
      </w:r>
      <w:r>
        <w:rPr>
          <w:rFonts w:ascii="Times New Roman" w:hAnsi="Times New Roman"/>
          <w:b/>
          <w:sz w:val="24"/>
        </w:rPr>
        <w:t>BMC Medical Research Methodology</w:t>
      </w:r>
      <w:r>
        <w:rPr>
          <w:rFonts w:ascii="Times New Roman" w:hAnsi="Times New Roman"/>
          <w:i w:val="0"/>
          <w:sz w:val="24"/>
        </w:rPr>
        <w:t>, v. 18, n. 1, e5, 2018b. DOI: https://doi.org/10.1186/s12874-017-0468-4.</w:t>
      </w:r>
    </w:p>
    <w:p>
      <w:pPr>
        <w:spacing w:before="0" w:after="120" w:line="240" w:lineRule="auto"/>
        <w:ind w:left="0" w:firstLine="0"/>
        <w:jc w:val="left"/>
      </w:pPr>
      <w:r>
        <w:rPr>
          <w:rFonts w:ascii="Times New Roman" w:hAnsi="Times New Roman"/>
          <w:i w:val="0"/>
          <w:sz w:val="24"/>
        </w:rPr>
        <w:t xml:space="preserve">NUGRAHA, E.; WIBOWO, R.; FIRMANSYAH, H. Mood states and game performance in invasion game activities: a correlation study among elementary school students. </w:t>
      </w:r>
      <w:r>
        <w:rPr>
          <w:rFonts w:ascii="Times New Roman" w:hAnsi="Times New Roman"/>
          <w:i/>
          <w:sz w:val="24"/>
        </w:rPr>
        <w:t>In</w:t>
      </w:r>
      <w:r>
        <w:rPr>
          <w:rFonts w:ascii="Times New Roman" w:hAnsi="Times New Roman"/>
          <w:i w:val="0"/>
          <w:sz w:val="24"/>
        </w:rPr>
        <w:t xml:space="preserve">: INTERNATIONAL CONFERENCE ON SPORT SCIENCE, HEALTH, AND PHYSICAL EDUCATION, 4., 2019, Bandung. </w:t>
      </w:r>
      <w:r>
        <w:rPr>
          <w:rFonts w:ascii="Times New Roman" w:hAnsi="Times New Roman"/>
          <w:b/>
          <w:sz w:val="24"/>
        </w:rPr>
        <w:t>Proceedings</w:t>
      </w:r>
      <w:r>
        <w:rPr>
          <w:rFonts w:ascii="Times New Roman" w:hAnsi="Times New Roman"/>
          <w:i w:val="0"/>
          <w:sz w:val="24"/>
        </w:rPr>
        <w:t xml:space="preserve"> [...]. Paris: Atlantis Press, 2020. p. 95-98. DOI: https://doi.org/10.2991/ahsr.k.200214.027.</w:t>
      </w:r>
    </w:p>
    <w:p>
      <w:pPr>
        <w:spacing w:before="0" w:after="120" w:line="240" w:lineRule="auto"/>
        <w:ind w:left="0" w:firstLine="0"/>
        <w:jc w:val="left"/>
      </w:pPr>
      <w:r>
        <w:rPr>
          <w:rFonts w:ascii="Times New Roman" w:hAnsi="Times New Roman"/>
          <w:i w:val="0"/>
          <w:sz w:val="24"/>
        </w:rPr>
        <w:t xml:space="preserve">OBREGÓN SIBÓN, I. et al. Cambios postest en el umbral mecánico nociceptivo de la musculatura del hombro y en el estado de ánimo en jugadores de balonmano. </w:t>
      </w:r>
      <w:r>
        <w:rPr>
          <w:rFonts w:ascii="Times New Roman" w:hAnsi="Times New Roman"/>
          <w:b/>
          <w:sz w:val="24"/>
        </w:rPr>
        <w:t>Cuestiones de Fisioterapia</w:t>
      </w:r>
      <w:r>
        <w:rPr>
          <w:rFonts w:ascii="Times New Roman" w:hAnsi="Times New Roman"/>
          <w:i w:val="0"/>
          <w:sz w:val="24"/>
        </w:rPr>
        <w:t>, v. 46, n. 3, p. 183-191, 2017. Disponível em: https://dialnet.unirioja.es/servlet/articulo?codigo=6263341. Acesso em: 21 out. 2026.</w:t>
      </w:r>
    </w:p>
    <w:p>
      <w:pPr>
        <w:spacing w:before="0" w:after="120" w:line="240" w:lineRule="auto"/>
        <w:ind w:left="0" w:firstLine="0"/>
        <w:jc w:val="left"/>
      </w:pPr>
      <w:r>
        <w:rPr>
          <w:rFonts w:ascii="Times New Roman" w:hAnsi="Times New Roman"/>
          <w:i w:val="0"/>
          <w:sz w:val="24"/>
        </w:rPr>
        <w:t xml:space="preserve">OUZZANI, M. et al. Rayyan—a web and mobile app for systematic reviews. </w:t>
      </w:r>
      <w:r>
        <w:rPr>
          <w:rFonts w:ascii="Times New Roman" w:hAnsi="Times New Roman"/>
          <w:b/>
          <w:sz w:val="24"/>
        </w:rPr>
        <w:t>Systematic Reviews</w:t>
      </w:r>
      <w:r>
        <w:rPr>
          <w:rFonts w:ascii="Times New Roman" w:hAnsi="Times New Roman"/>
          <w:i w:val="0"/>
          <w:sz w:val="24"/>
        </w:rPr>
        <w:t>, v. 5, n. 1, e210, 2016. DOI: https://doi.org/10.1186/s13643-016-0384-4.</w:t>
      </w:r>
    </w:p>
    <w:p>
      <w:pPr>
        <w:spacing w:before="0" w:after="120" w:line="240" w:lineRule="auto"/>
        <w:ind w:left="0" w:firstLine="0"/>
        <w:jc w:val="left"/>
      </w:pPr>
      <w:r>
        <w:rPr>
          <w:rFonts w:ascii="Times New Roman" w:hAnsi="Times New Roman"/>
          <w:i w:val="0"/>
          <w:sz w:val="24"/>
        </w:rPr>
        <w:t xml:space="preserve">PACEWICZ, C. E.; SMITH, A. L.; FRANK, K. Teammate communication, loneliness, and contagion of athlete burnout. </w:t>
      </w:r>
      <w:r>
        <w:rPr>
          <w:rFonts w:ascii="Times New Roman" w:hAnsi="Times New Roman"/>
          <w:b/>
          <w:sz w:val="24"/>
        </w:rPr>
        <w:t>Psychology of Sport and Exercise</w:t>
      </w:r>
      <w:r>
        <w:rPr>
          <w:rFonts w:ascii="Times New Roman" w:hAnsi="Times New Roman"/>
          <w:i w:val="0"/>
          <w:sz w:val="24"/>
        </w:rPr>
        <w:t>, v. 78, e102807, 2025. DOI: https://doi.org/10.1016/j.psychsport.2025.102807.</w:t>
      </w:r>
    </w:p>
    <w:p>
      <w:pPr>
        <w:spacing w:before="0" w:after="120" w:line="240" w:lineRule="auto"/>
        <w:ind w:left="0" w:firstLine="0"/>
        <w:jc w:val="left"/>
      </w:pPr>
      <w:r>
        <w:rPr>
          <w:rFonts w:ascii="Times New Roman" w:hAnsi="Times New Roman"/>
          <w:i w:val="0"/>
          <w:sz w:val="24"/>
        </w:rPr>
        <w:t xml:space="preserve">PADILHAS, O. P. et al. Inter season physiological control of the brazilian beach handball team. </w:t>
      </w:r>
      <w:r>
        <w:rPr>
          <w:rFonts w:ascii="Times New Roman" w:hAnsi="Times New Roman"/>
          <w:b/>
          <w:sz w:val="24"/>
        </w:rPr>
        <w:t>Revista Brasileira de Medicina do Esporte</w:t>
      </w:r>
      <w:r>
        <w:rPr>
          <w:rFonts w:ascii="Times New Roman" w:hAnsi="Times New Roman"/>
          <w:i w:val="0"/>
          <w:sz w:val="24"/>
        </w:rPr>
        <w:t>, v. 24, n. 6, p. 436-439, 2018. DOI: https://doi.org/10.1590/1517-869220182406153471.</w:t>
      </w:r>
    </w:p>
    <w:p>
      <w:pPr>
        <w:spacing w:before="0" w:after="120" w:line="240" w:lineRule="auto"/>
        <w:ind w:left="0" w:firstLine="0"/>
        <w:jc w:val="left"/>
      </w:pPr>
      <w:r>
        <w:rPr>
          <w:rFonts w:ascii="Times New Roman" w:hAnsi="Times New Roman"/>
          <w:i w:val="0"/>
          <w:sz w:val="24"/>
        </w:rPr>
        <w:t xml:space="preserve">PAGE, M. J. et al. The PRISMA 2020 statement: an updated guideline for reporting systematic reviews. </w:t>
      </w:r>
      <w:r>
        <w:rPr>
          <w:rFonts w:ascii="Times New Roman" w:hAnsi="Times New Roman"/>
          <w:b/>
          <w:sz w:val="24"/>
        </w:rPr>
        <w:t>BMJ</w:t>
      </w:r>
      <w:r>
        <w:rPr>
          <w:rFonts w:ascii="Times New Roman" w:hAnsi="Times New Roman"/>
          <w:i w:val="0"/>
          <w:sz w:val="24"/>
        </w:rPr>
        <w:t>, n71, 2021. DOI: https://doi.org/10.1136/bmj.n71.</w:t>
      </w:r>
    </w:p>
    <w:p>
      <w:pPr>
        <w:spacing w:before="0" w:after="120" w:line="240" w:lineRule="auto"/>
        <w:ind w:left="0" w:firstLine="0"/>
        <w:jc w:val="left"/>
      </w:pPr>
      <w:r>
        <w:rPr>
          <w:rFonts w:ascii="Times New Roman" w:hAnsi="Times New Roman"/>
          <w:i w:val="0"/>
          <w:sz w:val="24"/>
        </w:rPr>
        <w:t xml:space="preserve">PALUDO, A. C. et al. The Effect of Menstrual Cycle on Perceptual Responses in Athletes: A Systematic Review With Meta-Analysis. </w:t>
      </w:r>
      <w:r>
        <w:rPr>
          <w:rFonts w:ascii="Times New Roman" w:hAnsi="Times New Roman"/>
          <w:b/>
          <w:sz w:val="24"/>
        </w:rPr>
        <w:t>Frontiers in Psychology</w:t>
      </w:r>
      <w:r>
        <w:rPr>
          <w:rFonts w:ascii="Times New Roman" w:hAnsi="Times New Roman"/>
          <w:i w:val="0"/>
          <w:sz w:val="24"/>
        </w:rPr>
        <w:t>, v. 13, e926854, 2022. DOI: https://doi.org/10.3389/fpsyg.2022.926854.</w:t>
      </w:r>
    </w:p>
    <w:p>
      <w:pPr>
        <w:spacing w:before="0" w:after="120" w:line="240" w:lineRule="auto"/>
        <w:ind w:left="0" w:firstLine="0"/>
        <w:jc w:val="left"/>
      </w:pPr>
      <w:r>
        <w:rPr>
          <w:rFonts w:ascii="Times New Roman" w:hAnsi="Times New Roman"/>
          <w:i w:val="0"/>
          <w:sz w:val="24"/>
        </w:rPr>
        <w:t xml:space="preserve">PANCAR, Z. et al. Acute Biochemical Responses to Competitive Tournament Load in Female Handball Players: Hormonal, Inflammatory and Muscle Damage Markers. </w:t>
      </w:r>
      <w:r>
        <w:rPr>
          <w:rFonts w:ascii="Times New Roman" w:hAnsi="Times New Roman"/>
          <w:b/>
          <w:sz w:val="24"/>
        </w:rPr>
        <w:t>Life</w:t>
      </w:r>
      <w:r>
        <w:rPr>
          <w:rFonts w:ascii="Times New Roman" w:hAnsi="Times New Roman"/>
          <w:i w:val="0"/>
          <w:sz w:val="24"/>
        </w:rPr>
        <w:t>, v. 16, n. 3, e523, 2026. DOI: https://doi.org/10.3390/life16030523.</w:t>
      </w:r>
    </w:p>
    <w:p>
      <w:pPr>
        <w:spacing w:before="0" w:after="120" w:line="240" w:lineRule="auto"/>
        <w:ind w:left="0" w:firstLine="0"/>
        <w:jc w:val="left"/>
      </w:pPr>
      <w:r>
        <w:rPr>
          <w:rFonts w:ascii="Times New Roman" w:hAnsi="Times New Roman"/>
          <w:i w:val="0"/>
          <w:sz w:val="24"/>
        </w:rPr>
        <w:t xml:space="preserve">PARSONS-SMITH, R. L.; TERRY, P. C.; MACHIN, M. A. Identification and Description of Novel Mood Profile Clusters. </w:t>
      </w:r>
      <w:r>
        <w:rPr>
          <w:rFonts w:ascii="Times New Roman" w:hAnsi="Times New Roman"/>
          <w:b/>
          <w:sz w:val="24"/>
        </w:rPr>
        <w:t>Frontiers in Psychology</w:t>
      </w:r>
      <w:r>
        <w:rPr>
          <w:rFonts w:ascii="Times New Roman" w:hAnsi="Times New Roman"/>
          <w:i w:val="0"/>
          <w:sz w:val="24"/>
        </w:rPr>
        <w:t>, v. 8, e1958, 2017. DOI: https://doi.org/10.3389/fpsyg.2017.01958.</w:t>
      </w:r>
    </w:p>
    <w:p>
      <w:pPr>
        <w:spacing w:before="0" w:after="120" w:line="240" w:lineRule="auto"/>
        <w:ind w:left="0" w:firstLine="0"/>
        <w:jc w:val="left"/>
      </w:pPr>
      <w:r>
        <w:rPr>
          <w:rFonts w:ascii="Times New Roman" w:hAnsi="Times New Roman"/>
          <w:i w:val="0"/>
          <w:sz w:val="24"/>
        </w:rPr>
        <w:t xml:space="preserve">PEREIRA, R. et al. Avaliação do Estado Fisiológico de Escolares Atletas. </w:t>
      </w:r>
      <w:r>
        <w:rPr>
          <w:rFonts w:ascii="Times New Roman" w:hAnsi="Times New Roman"/>
          <w:b/>
          <w:sz w:val="24"/>
        </w:rPr>
        <w:t>Revista Brasileira de Ciências da Saúde</w:t>
      </w:r>
      <w:r>
        <w:rPr>
          <w:rFonts w:ascii="Times New Roman" w:hAnsi="Times New Roman"/>
          <w:i w:val="0"/>
          <w:sz w:val="24"/>
        </w:rPr>
        <w:t>, v. 18, n. S4, p. 75-82, 2014. DOI: https://doi.org/10.4034/RBCS.2014.18.S4.10.</w:t>
      </w:r>
    </w:p>
    <w:p>
      <w:pPr>
        <w:spacing w:before="0" w:after="120" w:line="240" w:lineRule="auto"/>
        <w:ind w:left="0" w:firstLine="0"/>
        <w:jc w:val="left"/>
      </w:pPr>
      <w:r>
        <w:rPr>
          <w:rFonts w:ascii="Times New Roman" w:hAnsi="Times New Roman"/>
          <w:i w:val="0"/>
          <w:sz w:val="24"/>
        </w:rPr>
        <w:t xml:space="preserve">PETERS, M. D. et al. Updated methodological guidance for the conduct of scoping reviews. </w:t>
      </w:r>
      <w:r>
        <w:rPr>
          <w:rFonts w:ascii="Times New Roman" w:hAnsi="Times New Roman"/>
          <w:b/>
          <w:sz w:val="24"/>
        </w:rPr>
        <w:t>JBI Evidence Synthesis</w:t>
      </w:r>
      <w:r>
        <w:rPr>
          <w:rFonts w:ascii="Times New Roman" w:hAnsi="Times New Roman"/>
          <w:i w:val="0"/>
          <w:sz w:val="24"/>
        </w:rPr>
        <w:t>, v. 18, n. 10, p. 2119-2126, 2020. DOI: https://doi.org/10.11124/jbies-20-00167.</w:t>
      </w:r>
    </w:p>
    <w:p>
      <w:pPr>
        <w:spacing w:before="0" w:after="120" w:line="240" w:lineRule="auto"/>
        <w:ind w:left="0" w:firstLine="0"/>
        <w:jc w:val="left"/>
      </w:pPr>
      <w:r>
        <w:rPr>
          <w:rFonts w:ascii="Times New Roman" w:hAnsi="Times New Roman"/>
          <w:i w:val="0"/>
          <w:sz w:val="24"/>
        </w:rPr>
        <w:t xml:space="preserve">PÓVOAS, S. C. et al. Physical and Physiological Demands of Elite Team Handball. </w:t>
      </w:r>
      <w:r>
        <w:rPr>
          <w:rFonts w:ascii="Times New Roman" w:hAnsi="Times New Roman"/>
          <w:b/>
          <w:sz w:val="24"/>
        </w:rPr>
        <w:t>Journal of Strength and Conditioning Research</w:t>
      </w:r>
      <w:r>
        <w:rPr>
          <w:rFonts w:ascii="Times New Roman" w:hAnsi="Times New Roman"/>
          <w:i w:val="0"/>
          <w:sz w:val="24"/>
        </w:rPr>
        <w:t>, v. 26, n. 12, p. 3365-3375, 2012. DOI: https://doi.org/10.1519/jsc.0b013e318248aeee.</w:t>
      </w:r>
    </w:p>
    <w:p>
      <w:pPr>
        <w:spacing w:before="0" w:after="120" w:line="240" w:lineRule="auto"/>
        <w:ind w:left="0" w:firstLine="0"/>
        <w:jc w:val="left"/>
      </w:pPr>
      <w:r>
        <w:rPr>
          <w:rFonts w:ascii="Times New Roman" w:hAnsi="Times New Roman"/>
          <w:i w:val="0"/>
          <w:sz w:val="24"/>
        </w:rPr>
        <w:t xml:space="preserve">PRUDENTE, J. N. et al. Evolution of attack in handball when playing 7 vs. 6 with empty goal between 2020 and 2023: coaches’ perception vs. observational results. </w:t>
      </w:r>
      <w:r>
        <w:rPr>
          <w:rFonts w:ascii="Times New Roman" w:hAnsi="Times New Roman"/>
          <w:b/>
          <w:sz w:val="24"/>
        </w:rPr>
        <w:t>Frontiers in Sports and Active Living</w:t>
      </w:r>
      <w:r>
        <w:rPr>
          <w:rFonts w:ascii="Times New Roman" w:hAnsi="Times New Roman"/>
          <w:i w:val="0"/>
          <w:sz w:val="24"/>
        </w:rPr>
        <w:t>, v. 6, e1354623, 2024. DOI: https://doi.org/10.3389/fspor.2024.1354623.</w:t>
      </w:r>
    </w:p>
    <w:p>
      <w:pPr>
        <w:spacing w:before="0" w:after="120" w:line="240" w:lineRule="auto"/>
        <w:ind w:left="0" w:firstLine="0"/>
        <w:jc w:val="left"/>
      </w:pPr>
      <w:r>
        <w:rPr>
          <w:rFonts w:ascii="Times New Roman" w:hAnsi="Times New Roman"/>
          <w:i w:val="0"/>
          <w:sz w:val="24"/>
        </w:rPr>
        <w:t xml:space="preserve">RAAB, M.; JOHNSON, J. G. Expertise-based differences in search and option-generation strategies. </w:t>
      </w:r>
      <w:r>
        <w:rPr>
          <w:rFonts w:ascii="Times New Roman" w:hAnsi="Times New Roman"/>
          <w:b/>
          <w:sz w:val="24"/>
        </w:rPr>
        <w:t>Journal of Experimental Psychology: Applied</w:t>
      </w:r>
      <w:r>
        <w:rPr>
          <w:rFonts w:ascii="Times New Roman" w:hAnsi="Times New Roman"/>
          <w:i w:val="0"/>
          <w:sz w:val="24"/>
        </w:rPr>
        <w:t>, v. 13, n. 3, p. 158-170, 2007. DOI: https://doi.org/10.1037/1076-898x.13.3.158.</w:t>
      </w:r>
    </w:p>
    <w:p>
      <w:pPr>
        <w:spacing w:before="0" w:after="120" w:line="240" w:lineRule="auto"/>
        <w:ind w:left="0" w:firstLine="0"/>
        <w:jc w:val="left"/>
      </w:pPr>
      <w:r>
        <w:rPr>
          <w:rFonts w:ascii="Times New Roman" w:hAnsi="Times New Roman"/>
          <w:i w:val="0"/>
          <w:sz w:val="24"/>
        </w:rPr>
        <w:t xml:space="preserve">RAGLIN, J. S. Psychological Factors in Sport Performance. </w:t>
      </w:r>
      <w:r>
        <w:rPr>
          <w:rFonts w:ascii="Times New Roman" w:hAnsi="Times New Roman"/>
          <w:b/>
          <w:sz w:val="24"/>
        </w:rPr>
        <w:t>Sports Medicine</w:t>
      </w:r>
      <w:r>
        <w:rPr>
          <w:rFonts w:ascii="Times New Roman" w:hAnsi="Times New Roman"/>
          <w:i w:val="0"/>
          <w:sz w:val="24"/>
        </w:rPr>
        <w:t>, v. 31, n. 12, p. 875-890, 2001. DOI: https://doi.org/10.2165/00007256-200131120-00004.</w:t>
      </w:r>
    </w:p>
    <w:p>
      <w:pPr>
        <w:spacing w:before="0" w:after="120" w:line="240" w:lineRule="auto"/>
        <w:ind w:left="0" w:firstLine="0"/>
        <w:jc w:val="left"/>
      </w:pPr>
      <w:r>
        <w:rPr>
          <w:rFonts w:ascii="Times New Roman" w:hAnsi="Times New Roman"/>
          <w:i w:val="0"/>
          <w:sz w:val="24"/>
        </w:rPr>
        <w:t xml:space="preserve">RATZ-SULYOK, F. Z. et al. Associations Between Endocrine Status and Stress, Mood and Psychosomatic Status in Elite Handball Players. </w:t>
      </w:r>
      <w:r>
        <w:rPr>
          <w:rFonts w:ascii="Times New Roman" w:hAnsi="Times New Roman"/>
          <w:b/>
          <w:sz w:val="24"/>
        </w:rPr>
        <w:t>Sports</w:t>
      </w:r>
      <w:r>
        <w:rPr>
          <w:rFonts w:ascii="Times New Roman" w:hAnsi="Times New Roman"/>
          <w:i w:val="0"/>
          <w:sz w:val="24"/>
        </w:rPr>
        <w:t>, v. 14, n. 7, e289, 2026b. DOI: https://doi.org/10.3390/sports14070289.</w:t>
      </w:r>
    </w:p>
    <w:p>
      <w:pPr>
        <w:spacing w:before="0" w:after="120" w:line="240" w:lineRule="auto"/>
        <w:ind w:left="0" w:firstLine="0"/>
        <w:jc w:val="left"/>
      </w:pPr>
      <w:r>
        <w:rPr>
          <w:rFonts w:ascii="Times New Roman" w:hAnsi="Times New Roman"/>
          <w:i w:val="0"/>
          <w:sz w:val="24"/>
        </w:rPr>
        <w:t xml:space="preserve">RATZ-SULYOK, F. Z. et al. Stress and sex hormone changes of young elite handball players in relation to their mood profiles. </w:t>
      </w:r>
      <w:r>
        <w:rPr>
          <w:rFonts w:ascii="Times New Roman" w:hAnsi="Times New Roman"/>
          <w:b/>
          <w:sz w:val="24"/>
        </w:rPr>
        <w:t>Anthropologiai Közlemények</w:t>
      </w:r>
      <w:r>
        <w:rPr>
          <w:rFonts w:ascii="Times New Roman" w:hAnsi="Times New Roman"/>
          <w:i w:val="0"/>
          <w:sz w:val="24"/>
        </w:rPr>
        <w:t>, n. 67, supl., p. 108, 2026. Resumo. DOI: https://doi.org/10.20330/anthropkozl.2026.67s.108.</w:t>
      </w:r>
    </w:p>
    <w:p>
      <w:pPr>
        <w:spacing w:before="0" w:after="120" w:line="240" w:lineRule="auto"/>
        <w:ind w:left="0" w:firstLine="0"/>
        <w:jc w:val="left"/>
      </w:pPr>
      <w:r>
        <w:rPr>
          <w:rFonts w:ascii="Times New Roman" w:hAnsi="Times New Roman"/>
          <w:i w:val="0"/>
          <w:sz w:val="24"/>
        </w:rPr>
        <w:t xml:space="preserve">REARDON, C. L. et al. Mental health in elite athletes: International Olympic Committee consensus statement (2019). </w:t>
      </w:r>
      <w:r>
        <w:rPr>
          <w:rFonts w:ascii="Times New Roman" w:hAnsi="Times New Roman"/>
          <w:b/>
          <w:sz w:val="24"/>
        </w:rPr>
        <w:t>British Journal of Sports Medicine</w:t>
      </w:r>
      <w:r>
        <w:rPr>
          <w:rFonts w:ascii="Times New Roman" w:hAnsi="Times New Roman"/>
          <w:i w:val="0"/>
          <w:sz w:val="24"/>
        </w:rPr>
        <w:t>, v. 53, n. 11, p. 667-699, 2019. DOI: https://doi.org/10.1136/bjsports-2019-100715.</w:t>
      </w:r>
    </w:p>
    <w:p>
      <w:pPr>
        <w:spacing w:before="0" w:after="120" w:line="240" w:lineRule="auto"/>
        <w:ind w:left="0" w:firstLine="0"/>
        <w:jc w:val="left"/>
      </w:pPr>
      <w:r>
        <w:rPr>
          <w:rFonts w:ascii="Times New Roman" w:hAnsi="Times New Roman"/>
          <w:i w:val="0"/>
          <w:sz w:val="24"/>
        </w:rPr>
        <w:t xml:space="preserve">REARDON, C. L. et al. Mental health in elite athletes: International Olympic Committee consensus statement (2026). </w:t>
      </w:r>
      <w:r>
        <w:rPr>
          <w:rFonts w:ascii="Times New Roman" w:hAnsi="Times New Roman"/>
          <w:b/>
          <w:sz w:val="24"/>
        </w:rPr>
        <w:t>British Journal of Sports Medicine</w:t>
      </w:r>
      <w:r>
        <w:rPr>
          <w:rFonts w:ascii="Times New Roman" w:hAnsi="Times New Roman"/>
          <w:i w:val="0"/>
          <w:sz w:val="24"/>
        </w:rPr>
        <w:t>, v. 60, n. 15, p. 1083-1130, 2026. DOI: https://doi.org/10.1136/bjsports-2025-111514.</w:t>
      </w:r>
    </w:p>
    <w:p>
      <w:pPr>
        <w:spacing w:before="0" w:after="120" w:line="240" w:lineRule="auto"/>
        <w:ind w:left="0" w:firstLine="0"/>
        <w:jc w:val="left"/>
      </w:pPr>
      <w:r>
        <w:rPr>
          <w:rFonts w:ascii="Times New Roman" w:hAnsi="Times New Roman"/>
          <w:i w:val="0"/>
          <w:sz w:val="24"/>
        </w:rPr>
        <w:t xml:space="preserve">REBELO, A. et al. Training stress, neuromuscular fatigue and well-being in volleyball: a systematic review. </w:t>
      </w:r>
      <w:r>
        <w:rPr>
          <w:rFonts w:ascii="Times New Roman" w:hAnsi="Times New Roman"/>
          <w:b/>
          <w:sz w:val="24"/>
        </w:rPr>
        <w:t>BMC Sports Science, Medicine and Rehabilitation</w:t>
      </w:r>
      <w:r>
        <w:rPr>
          <w:rFonts w:ascii="Times New Roman" w:hAnsi="Times New Roman"/>
          <w:i w:val="0"/>
          <w:sz w:val="24"/>
        </w:rPr>
        <w:t>, v. 16, n. 1, e17, 2024. DOI: https://doi.org/10.1186/s13102-024-00807-7.</w:t>
      </w:r>
    </w:p>
    <w:p>
      <w:pPr>
        <w:spacing w:before="0" w:after="120" w:line="240" w:lineRule="auto"/>
        <w:ind w:left="0" w:firstLine="0"/>
        <w:jc w:val="left"/>
      </w:pPr>
      <w:r>
        <w:rPr>
          <w:rFonts w:ascii="Times New Roman" w:hAnsi="Times New Roman"/>
          <w:i w:val="0"/>
          <w:sz w:val="24"/>
        </w:rPr>
        <w:t xml:space="preserve">REIGAL, R. E. et al. Psychological Profile, Competitive Anxiety, Moods and Self-Efficacy in Beach Handball Players. </w:t>
      </w:r>
      <w:r>
        <w:rPr>
          <w:rFonts w:ascii="Times New Roman" w:hAnsi="Times New Roman"/>
          <w:b/>
          <w:sz w:val="24"/>
        </w:rPr>
        <w:t>International Journal of Environmental Research and Public Health</w:t>
      </w:r>
      <w:r>
        <w:rPr>
          <w:rFonts w:ascii="Times New Roman" w:hAnsi="Times New Roman"/>
          <w:i w:val="0"/>
          <w:sz w:val="24"/>
        </w:rPr>
        <w:t>, v. 17, n. 1, e241, 2020. DOI: https://doi.org/10.3390/ijerph17010241.</w:t>
      </w:r>
    </w:p>
    <w:p>
      <w:pPr>
        <w:spacing w:before="0" w:after="120" w:line="240" w:lineRule="auto"/>
        <w:ind w:left="0" w:firstLine="0"/>
        <w:jc w:val="left"/>
      </w:pPr>
      <w:r>
        <w:rPr>
          <w:rFonts w:ascii="Times New Roman" w:hAnsi="Times New Roman"/>
          <w:i w:val="0"/>
          <w:sz w:val="24"/>
        </w:rPr>
        <w:t xml:space="preserve">ROBAZZA, C. et al. Perceived motivational climate influences athletes’ emotion regulation strategies, emotions, and psychobiosocial experiences. </w:t>
      </w:r>
      <w:r>
        <w:rPr>
          <w:rFonts w:ascii="Times New Roman" w:hAnsi="Times New Roman"/>
          <w:b/>
          <w:sz w:val="24"/>
        </w:rPr>
        <w:t>Psychology of Sport and Exercise</w:t>
      </w:r>
      <w:r>
        <w:rPr>
          <w:rFonts w:ascii="Times New Roman" w:hAnsi="Times New Roman"/>
          <w:i w:val="0"/>
          <w:sz w:val="24"/>
        </w:rPr>
        <w:t>, v. 59, e102110, 2022. DOI: https://doi.org/10.1016/j.psychsport.2021.102110.</w:t>
      </w:r>
    </w:p>
    <w:p>
      <w:pPr>
        <w:spacing w:before="0" w:after="120" w:line="240" w:lineRule="auto"/>
        <w:ind w:left="0" w:firstLine="0"/>
        <w:jc w:val="left"/>
      </w:pPr>
      <w:r>
        <w:rPr>
          <w:rFonts w:ascii="Times New Roman" w:hAnsi="Times New Roman"/>
          <w:i w:val="0"/>
          <w:sz w:val="24"/>
        </w:rPr>
        <w:t xml:space="preserve">ROCHA, P. G. M. D.; LOPES, J. L.; MORAES, S. M. F. D. Efeito da alteração ambiental sobre componentes psicológicos e parâmetros fisiológicos durante corrida em atletas. </w:t>
      </w:r>
      <w:r>
        <w:rPr>
          <w:rFonts w:ascii="Times New Roman" w:hAnsi="Times New Roman"/>
          <w:b/>
          <w:sz w:val="24"/>
        </w:rPr>
        <w:t>Psicologia: Teoria e Pesquisa</w:t>
      </w:r>
      <w:r>
        <w:rPr>
          <w:rFonts w:ascii="Times New Roman" w:hAnsi="Times New Roman"/>
          <w:i w:val="0"/>
          <w:sz w:val="24"/>
        </w:rPr>
        <w:t>, v. 26, n. 2, p. 381-386, 2010. DOI: https://doi.org/10.1590/S0102-37722010000200020.</w:t>
      </w:r>
    </w:p>
    <w:p>
      <w:pPr>
        <w:spacing w:before="0" w:after="120" w:line="240" w:lineRule="auto"/>
        <w:ind w:left="0" w:firstLine="0"/>
        <w:jc w:val="left"/>
      </w:pPr>
      <w:r>
        <w:rPr>
          <w:rFonts w:ascii="Times New Roman" w:hAnsi="Times New Roman"/>
          <w:i w:val="0"/>
          <w:sz w:val="24"/>
        </w:rPr>
        <w:t xml:space="preserve">RODRIGUES ROCHA, A. C. et al. Are Team Sports Effective in Improving Mental Health? A Systematic Review on the Primary Outcomes of Anxiety and Mood. </w:t>
      </w:r>
      <w:r>
        <w:rPr>
          <w:rFonts w:ascii="Times New Roman" w:hAnsi="Times New Roman"/>
          <w:b/>
          <w:sz w:val="24"/>
        </w:rPr>
        <w:t>Clinical Practice &amp; Epidemiology in Mental Health</w:t>
      </w:r>
      <w:r>
        <w:rPr>
          <w:rFonts w:ascii="Times New Roman" w:hAnsi="Times New Roman"/>
          <w:i w:val="0"/>
          <w:sz w:val="24"/>
        </w:rPr>
        <w:t>, v. 22, n. 1, e17450179471779, 2026. DOI: https://doi.org/10.2174/0117450179471779260627171341.</w:t>
      </w:r>
    </w:p>
    <w:p>
      <w:pPr>
        <w:spacing w:before="0" w:after="120" w:line="240" w:lineRule="auto"/>
        <w:ind w:left="0" w:firstLine="0"/>
        <w:jc w:val="left"/>
      </w:pPr>
      <w:r>
        <w:rPr>
          <w:rFonts w:ascii="Times New Roman" w:hAnsi="Times New Roman"/>
          <w:i w:val="0"/>
          <w:sz w:val="24"/>
        </w:rPr>
        <w:t xml:space="preserve">ROHLFS, I. C. P. D. M. et al. A Escala de Humor de Brunel (Brums): instrumento para detecção precoce da síndrome do excesso de treinamento. </w:t>
      </w:r>
      <w:r>
        <w:rPr>
          <w:rFonts w:ascii="Times New Roman" w:hAnsi="Times New Roman"/>
          <w:b/>
          <w:sz w:val="24"/>
        </w:rPr>
        <w:t>Revista Brasileira de Medicina do Esporte</w:t>
      </w:r>
      <w:r>
        <w:rPr>
          <w:rFonts w:ascii="Times New Roman" w:hAnsi="Times New Roman"/>
          <w:i w:val="0"/>
          <w:sz w:val="24"/>
        </w:rPr>
        <w:t>, v. 14, n. 3, p. 176-181, 2008. DOI: https://doi.org/10.1590/S1517-86922008000300003.</w:t>
      </w:r>
    </w:p>
    <w:p>
      <w:pPr>
        <w:spacing w:before="0" w:after="120" w:line="240" w:lineRule="auto"/>
        <w:ind w:left="0" w:firstLine="0"/>
        <w:jc w:val="left"/>
      </w:pPr>
      <w:r>
        <w:rPr>
          <w:rFonts w:ascii="Times New Roman" w:hAnsi="Times New Roman"/>
          <w:i w:val="0"/>
          <w:sz w:val="24"/>
        </w:rPr>
        <w:t xml:space="preserve">RUMBOLD, J. L. et al. Assessing post‐game emotions in soccer teams: The role of distinct emotional dynamics. </w:t>
      </w:r>
      <w:r>
        <w:rPr>
          <w:rFonts w:ascii="Times New Roman" w:hAnsi="Times New Roman"/>
          <w:b/>
          <w:sz w:val="24"/>
        </w:rPr>
        <w:t>European Journal of Sport Science</w:t>
      </w:r>
      <w:r>
        <w:rPr>
          <w:rFonts w:ascii="Times New Roman" w:hAnsi="Times New Roman"/>
          <w:i w:val="0"/>
          <w:sz w:val="24"/>
        </w:rPr>
        <w:t>, v. 22, n. 6, p. 888-896, 2022. DOI: https://doi.org/10.1080/17461391.2021.1916079.</w:t>
      </w:r>
    </w:p>
    <w:p>
      <w:pPr>
        <w:spacing w:before="0" w:after="120" w:line="240" w:lineRule="auto"/>
        <w:ind w:left="0" w:firstLine="0"/>
        <w:jc w:val="left"/>
      </w:pPr>
      <w:r>
        <w:rPr>
          <w:rFonts w:ascii="Times New Roman" w:hAnsi="Times New Roman"/>
          <w:i w:val="0"/>
          <w:sz w:val="24"/>
        </w:rPr>
        <w:t xml:space="preserve">SAAL, C. et al. How different defensive formations affect physical match demands in the German Handball-Bundesliga: a comparison of the attacking and defending team. </w:t>
      </w:r>
      <w:r>
        <w:rPr>
          <w:rFonts w:ascii="Times New Roman" w:hAnsi="Times New Roman"/>
          <w:b/>
          <w:sz w:val="24"/>
        </w:rPr>
        <w:t>Frontiers in Sports and Active Living</w:t>
      </w:r>
      <w:r>
        <w:rPr>
          <w:rFonts w:ascii="Times New Roman" w:hAnsi="Times New Roman"/>
          <w:i w:val="0"/>
          <w:sz w:val="24"/>
        </w:rPr>
        <w:t>, v. 8, e1811523, 2026. DOI: https://doi.org/10.3389/fspor.2026.1811523.</w:t>
      </w:r>
    </w:p>
    <w:p>
      <w:pPr>
        <w:spacing w:before="0" w:after="120" w:line="240" w:lineRule="auto"/>
        <w:ind w:left="0" w:firstLine="0"/>
        <w:jc w:val="left"/>
      </w:pPr>
      <w:r>
        <w:rPr>
          <w:rFonts w:ascii="Times New Roman" w:hAnsi="Times New Roman"/>
          <w:i w:val="0"/>
          <w:sz w:val="24"/>
        </w:rPr>
        <w:t xml:space="preserve">SAHLI, F. et al. Enhancing Skills, Mood, and Performance in Overweight Handball Players: Exploring Individual vs. Collective Verbal Encouragement Strategies. </w:t>
      </w:r>
      <w:r>
        <w:rPr>
          <w:rFonts w:ascii="Times New Roman" w:hAnsi="Times New Roman"/>
          <w:b/>
          <w:sz w:val="24"/>
        </w:rPr>
        <w:t>Children</w:t>
      </w:r>
      <w:r>
        <w:rPr>
          <w:rFonts w:ascii="Times New Roman" w:hAnsi="Times New Roman"/>
          <w:i w:val="0"/>
          <w:sz w:val="24"/>
        </w:rPr>
        <w:t>, v. 11, n. 4, e432, 2024. DOI: https://doi.org/10.3390/children11040432.</w:t>
      </w:r>
    </w:p>
    <w:p>
      <w:pPr>
        <w:spacing w:before="0" w:after="120" w:line="240" w:lineRule="auto"/>
        <w:ind w:left="0" w:firstLine="0"/>
        <w:jc w:val="left"/>
      </w:pPr>
      <w:r>
        <w:rPr>
          <w:rFonts w:ascii="Times New Roman" w:hAnsi="Times New Roman"/>
          <w:i w:val="0"/>
          <w:sz w:val="24"/>
        </w:rPr>
        <w:t xml:space="preserve">SAHLI, F. et al. The Effects of Combined Verbal Encouragement and Technical Instruction on Technical Skills and Psychophysiological Responses During Small-Sided Handball Games Exercise in Physical Education. </w:t>
      </w:r>
      <w:r>
        <w:rPr>
          <w:rFonts w:ascii="Times New Roman" w:hAnsi="Times New Roman"/>
          <w:b/>
          <w:sz w:val="24"/>
        </w:rPr>
        <w:t>Frontiers in Psychology</w:t>
      </w:r>
      <w:r>
        <w:rPr>
          <w:rFonts w:ascii="Times New Roman" w:hAnsi="Times New Roman"/>
          <w:i w:val="0"/>
          <w:sz w:val="24"/>
        </w:rPr>
        <w:t>, v. 13, e902088, 2022. DOI: https://doi.org/10.3389/fpsyg.2022.902088.</w:t>
      </w:r>
    </w:p>
    <w:p>
      <w:pPr>
        <w:spacing w:before="0" w:after="120" w:line="240" w:lineRule="auto"/>
        <w:ind w:left="0" w:firstLine="0"/>
        <w:jc w:val="left"/>
      </w:pPr>
      <w:r>
        <w:rPr>
          <w:rFonts w:ascii="Times New Roman" w:hAnsi="Times New Roman"/>
          <w:i w:val="0"/>
          <w:sz w:val="24"/>
        </w:rPr>
        <w:t xml:space="preserve">SAIDI, K. et al. Biochemical Markers and Wellness Status During a Congested Match Play Period in Elite Soccer Players. </w:t>
      </w:r>
      <w:r>
        <w:rPr>
          <w:rFonts w:ascii="Times New Roman" w:hAnsi="Times New Roman"/>
          <w:b/>
          <w:sz w:val="24"/>
        </w:rPr>
        <w:t>International Journal of Sports Physiology and Performance</w:t>
      </w:r>
      <w:r>
        <w:rPr>
          <w:rFonts w:ascii="Times New Roman" w:hAnsi="Times New Roman"/>
          <w:i w:val="0"/>
          <w:sz w:val="24"/>
        </w:rPr>
        <w:t>, v. 17, n. 4, p. 605-620, 2022. DOI: https://doi.org/10.1123/ijspp.2020-0914.</w:t>
      </w:r>
    </w:p>
    <w:p>
      <w:pPr>
        <w:spacing w:before="0" w:after="120" w:line="240" w:lineRule="auto"/>
        <w:ind w:left="0" w:firstLine="0"/>
        <w:jc w:val="left"/>
      </w:pPr>
      <w:r>
        <w:rPr>
          <w:rFonts w:ascii="Times New Roman" w:hAnsi="Times New Roman"/>
          <w:i w:val="0"/>
          <w:sz w:val="24"/>
        </w:rPr>
        <w:t xml:space="preserve">SANSONE, P. et al. Breaking Down the 3 × 3 Basketball Game: How Tournament Phase, Game Outcome, and Final Score Margin Impact Physiological, Perceptual, and Mental Demands. </w:t>
      </w:r>
      <w:r>
        <w:rPr>
          <w:rFonts w:ascii="Times New Roman" w:hAnsi="Times New Roman"/>
          <w:b/>
          <w:sz w:val="24"/>
        </w:rPr>
        <w:t>International Journal of Sports Physiology and Performance</w:t>
      </w:r>
      <w:r>
        <w:rPr>
          <w:rFonts w:ascii="Times New Roman" w:hAnsi="Times New Roman"/>
          <w:i w:val="0"/>
          <w:sz w:val="24"/>
        </w:rPr>
        <w:t>, v. 20, n. 6, p. 834-839, 2025. DOI: https://doi.org/10.1123/ijspp.2024-0516.</w:t>
      </w:r>
    </w:p>
    <w:p>
      <w:pPr>
        <w:spacing w:before="0" w:after="120" w:line="240" w:lineRule="auto"/>
        <w:ind w:left="0" w:firstLine="0"/>
        <w:jc w:val="left"/>
      </w:pPr>
      <w:r>
        <w:rPr>
          <w:rFonts w:ascii="Times New Roman" w:hAnsi="Times New Roman"/>
          <w:i w:val="0"/>
          <w:sz w:val="24"/>
        </w:rPr>
        <w:t xml:space="preserve">SAVITZKY, A.; GOLAY, M. J. E. Smoothing and Differentiation of Data by Simplified Least Squares Procedures. </w:t>
      </w:r>
      <w:r>
        <w:rPr>
          <w:rFonts w:ascii="Times New Roman" w:hAnsi="Times New Roman"/>
          <w:b/>
          <w:sz w:val="24"/>
        </w:rPr>
        <w:t>Analytical Chemistry</w:t>
      </w:r>
      <w:r>
        <w:rPr>
          <w:rFonts w:ascii="Times New Roman" w:hAnsi="Times New Roman"/>
          <w:i w:val="0"/>
          <w:sz w:val="24"/>
        </w:rPr>
        <w:t>, v. 36, n. 8, p. 1627-1639, 1964. DOI: https://doi.org/10.1021/ac60214a047.</w:t>
      </w:r>
    </w:p>
    <w:p>
      <w:pPr>
        <w:spacing w:before="0" w:after="120" w:line="240" w:lineRule="auto"/>
        <w:ind w:left="0" w:firstLine="0"/>
        <w:jc w:val="left"/>
      </w:pPr>
      <w:r>
        <w:rPr>
          <w:rFonts w:ascii="Times New Roman" w:hAnsi="Times New Roman"/>
          <w:i w:val="0"/>
          <w:sz w:val="24"/>
        </w:rPr>
        <w:t xml:space="preserve">SAW, A. E.; MAIN, L. C.; GASTIN, P. B. Monitoring the athlete training response: subjective self-reported measures trump commonly used objective measures: a systematic review. </w:t>
      </w:r>
      <w:r>
        <w:rPr>
          <w:rFonts w:ascii="Times New Roman" w:hAnsi="Times New Roman"/>
          <w:b/>
          <w:sz w:val="24"/>
        </w:rPr>
        <w:t>British Journal of Sports Medicine</w:t>
      </w:r>
      <w:r>
        <w:rPr>
          <w:rFonts w:ascii="Times New Roman" w:hAnsi="Times New Roman"/>
          <w:i w:val="0"/>
          <w:sz w:val="24"/>
        </w:rPr>
        <w:t>, v. 50, n. 5, p. 281-291, 2016. DOI: https://doi.org/10.1136/bjsports-2015-094758.</w:t>
      </w:r>
    </w:p>
    <w:p>
      <w:pPr>
        <w:spacing w:before="0" w:after="120" w:line="240" w:lineRule="auto"/>
        <w:ind w:left="0" w:firstLine="0"/>
        <w:jc w:val="left"/>
      </w:pPr>
      <w:r>
        <w:rPr>
          <w:rFonts w:ascii="Times New Roman" w:hAnsi="Times New Roman"/>
          <w:i w:val="0"/>
          <w:sz w:val="24"/>
        </w:rPr>
        <w:t xml:space="preserve">SCHIAVINI, C.; ARENA, R. Influence of the semi-final stage on mood in female handball athletes at Unisinos Championship 2008. </w:t>
      </w:r>
      <w:r>
        <w:rPr>
          <w:rFonts w:ascii="Times New Roman" w:hAnsi="Times New Roman"/>
          <w:b/>
          <w:sz w:val="24"/>
        </w:rPr>
        <w:t>FIEP Bulletin</w:t>
      </w:r>
      <w:r>
        <w:rPr>
          <w:rFonts w:ascii="Times New Roman" w:hAnsi="Times New Roman"/>
          <w:i w:val="0"/>
          <w:sz w:val="24"/>
        </w:rPr>
        <w:t>, v. 80, edição especial, p. 625-628, 2010.</w:t>
      </w:r>
    </w:p>
    <w:p>
      <w:pPr>
        <w:spacing w:before="0" w:after="120" w:line="240" w:lineRule="auto"/>
        <w:ind w:left="0" w:firstLine="0"/>
        <w:jc w:val="left"/>
      </w:pPr>
      <w:r>
        <w:rPr>
          <w:rFonts w:ascii="Times New Roman" w:hAnsi="Times New Roman"/>
          <w:i w:val="0"/>
          <w:sz w:val="24"/>
        </w:rPr>
        <w:t xml:space="preserve">SELMI, O. et al. Coaches’ verbal encouragement in soccer: A systematic review of its effects on internal training load, physical and time-motion performance, and technical skills. </w:t>
      </w:r>
      <w:r>
        <w:rPr>
          <w:rFonts w:ascii="Times New Roman" w:hAnsi="Times New Roman"/>
          <w:b/>
          <w:sz w:val="24"/>
        </w:rPr>
        <w:t>Journal of Sports Sciences</w:t>
      </w:r>
      <w:r>
        <w:rPr>
          <w:rFonts w:ascii="Times New Roman" w:hAnsi="Times New Roman"/>
          <w:i w:val="0"/>
          <w:sz w:val="24"/>
        </w:rPr>
        <w:t>, p. 1-15, 2026. DOI: https://doi.org/10.1080/02640414.2026.2735708.</w:t>
      </w:r>
    </w:p>
    <w:p>
      <w:pPr>
        <w:spacing w:before="0" w:after="120" w:line="240" w:lineRule="auto"/>
        <w:ind w:left="0" w:firstLine="0"/>
        <w:jc w:val="left"/>
      </w:pPr>
      <w:r>
        <w:rPr>
          <w:rFonts w:ascii="Times New Roman" w:hAnsi="Times New Roman"/>
          <w:i w:val="0"/>
          <w:sz w:val="24"/>
        </w:rPr>
        <w:t xml:space="preserve">SELMI, O. et al. Monitoring mood state to improve performance in soccer players: A brief review. </w:t>
      </w:r>
      <w:r>
        <w:rPr>
          <w:rFonts w:ascii="Times New Roman" w:hAnsi="Times New Roman"/>
          <w:b/>
          <w:sz w:val="24"/>
        </w:rPr>
        <w:t>Frontiers in Psychology</w:t>
      </w:r>
      <w:r>
        <w:rPr>
          <w:rFonts w:ascii="Times New Roman" w:hAnsi="Times New Roman"/>
          <w:i w:val="0"/>
          <w:sz w:val="24"/>
        </w:rPr>
        <w:t>, v. 14, e1095238, 2023. DOI: https://doi.org/10.3389/fpsyg.2023.1095238.</w:t>
      </w:r>
    </w:p>
    <w:p>
      <w:pPr>
        <w:spacing w:before="0" w:after="120" w:line="240" w:lineRule="auto"/>
        <w:ind w:left="0" w:firstLine="0"/>
        <w:jc w:val="left"/>
      </w:pPr>
      <w:r>
        <w:rPr>
          <w:rFonts w:ascii="Times New Roman" w:hAnsi="Times New Roman"/>
          <w:i w:val="0"/>
          <w:sz w:val="24"/>
        </w:rPr>
        <w:t xml:space="preserve">SOTO, D.; GARCÍA-HERRERO, J. A.; CARCEDO, R. J. Well-Being and Throwing Speed of Women Handball Players Affected by Feedback. </w:t>
      </w:r>
      <w:r>
        <w:rPr>
          <w:rFonts w:ascii="Times New Roman" w:hAnsi="Times New Roman"/>
          <w:b/>
          <w:sz w:val="24"/>
        </w:rPr>
        <w:t>International Journal of Environmental Research and Public Health</w:t>
      </w:r>
      <w:r>
        <w:rPr>
          <w:rFonts w:ascii="Times New Roman" w:hAnsi="Times New Roman"/>
          <w:i w:val="0"/>
          <w:sz w:val="24"/>
        </w:rPr>
        <w:t>, v. 17, n. 17, e6064, 2020. DOI: https://doi.org/10.3390/ijerph17176064.</w:t>
      </w:r>
    </w:p>
    <w:p>
      <w:pPr>
        <w:spacing w:before="0" w:after="120" w:line="240" w:lineRule="auto"/>
        <w:ind w:left="0" w:firstLine="0"/>
        <w:jc w:val="left"/>
      </w:pPr>
      <w:r>
        <w:rPr>
          <w:rFonts w:ascii="Times New Roman" w:hAnsi="Times New Roman"/>
          <w:i w:val="0"/>
          <w:sz w:val="24"/>
        </w:rPr>
        <w:t xml:space="preserve">STAIANO, W. et al. Overcoming mental fatigue through mindfulness: Improving physical and cognitive performance in elite handball players. </w:t>
      </w:r>
      <w:r>
        <w:rPr>
          <w:rFonts w:ascii="Times New Roman" w:hAnsi="Times New Roman"/>
          <w:b/>
          <w:sz w:val="24"/>
        </w:rPr>
        <w:t>Journal of Science and Medicine in Sport</w:t>
      </w:r>
      <w:r>
        <w:rPr>
          <w:rFonts w:ascii="Times New Roman" w:hAnsi="Times New Roman"/>
          <w:i w:val="0"/>
          <w:sz w:val="24"/>
        </w:rPr>
        <w:t>, v. 29, n. 1, p. 91-99, 2026. DOI: https://doi.org/10.1016/j.jsams.2025.08.004.</w:t>
      </w:r>
    </w:p>
    <w:p>
      <w:pPr>
        <w:spacing w:before="0" w:after="120" w:line="240" w:lineRule="auto"/>
        <w:ind w:left="0" w:firstLine="0"/>
        <w:jc w:val="left"/>
      </w:pPr>
      <w:r>
        <w:rPr>
          <w:rFonts w:ascii="Times New Roman" w:hAnsi="Times New Roman"/>
          <w:i w:val="0"/>
          <w:sz w:val="24"/>
        </w:rPr>
        <w:t xml:space="preserve">STEVENS, C. J. et al. Affective Determinants of Physical Activity: A Conceptual Framework and Narrative Review. </w:t>
      </w:r>
      <w:r>
        <w:rPr>
          <w:rFonts w:ascii="Times New Roman" w:hAnsi="Times New Roman"/>
          <w:b/>
          <w:sz w:val="24"/>
        </w:rPr>
        <w:t>Frontiers in Psychology</w:t>
      </w:r>
      <w:r>
        <w:rPr>
          <w:rFonts w:ascii="Times New Roman" w:hAnsi="Times New Roman"/>
          <w:i w:val="0"/>
          <w:sz w:val="24"/>
        </w:rPr>
        <w:t>, v. 11, e568331, 2020. DOI: https://doi.org/10.3389/fpsyg.2020.568331.</w:t>
      </w:r>
    </w:p>
    <w:p>
      <w:pPr>
        <w:spacing w:before="0" w:after="120" w:line="240" w:lineRule="auto"/>
        <w:ind w:left="0" w:firstLine="0"/>
        <w:jc w:val="left"/>
      </w:pPr>
      <w:r>
        <w:rPr>
          <w:rFonts w:ascii="Times New Roman" w:hAnsi="Times New Roman"/>
          <w:i w:val="0"/>
          <w:sz w:val="24"/>
        </w:rPr>
        <w:t xml:space="preserve">TAMMINEN, K. A. et al. A daily diary study of interpersonal emotion regulation, the social environment, and team performance among university athletes. </w:t>
      </w:r>
      <w:r>
        <w:rPr>
          <w:rFonts w:ascii="Times New Roman" w:hAnsi="Times New Roman"/>
          <w:b/>
          <w:sz w:val="24"/>
        </w:rPr>
        <w:t>Psychology of Sport and Exercise</w:t>
      </w:r>
      <w:r>
        <w:rPr>
          <w:rFonts w:ascii="Times New Roman" w:hAnsi="Times New Roman"/>
          <w:i w:val="0"/>
          <w:sz w:val="24"/>
        </w:rPr>
        <w:t>, v. 45, e101566, 2019. DOI: https://doi.org/10.1016/j.psychsport.2019.101566.</w:t>
      </w:r>
    </w:p>
    <w:p>
      <w:pPr>
        <w:spacing w:before="0" w:after="120" w:line="240" w:lineRule="auto"/>
        <w:ind w:left="0" w:firstLine="0"/>
        <w:jc w:val="left"/>
      </w:pPr>
      <w:r>
        <w:rPr>
          <w:rFonts w:ascii="Times New Roman" w:hAnsi="Times New Roman"/>
          <w:i w:val="0"/>
          <w:sz w:val="24"/>
        </w:rPr>
        <w:t xml:space="preserve">TAN, C. et al. The structural validity and latent profile characteristics of the Abbreviated Profile of Mood States among Chinese athletes. </w:t>
      </w:r>
      <w:r>
        <w:rPr>
          <w:rFonts w:ascii="Times New Roman" w:hAnsi="Times New Roman"/>
          <w:b/>
          <w:sz w:val="24"/>
        </w:rPr>
        <w:t>BMC Psychiatry</w:t>
      </w:r>
      <w:r>
        <w:rPr>
          <w:rFonts w:ascii="Times New Roman" w:hAnsi="Times New Roman"/>
          <w:i w:val="0"/>
          <w:sz w:val="24"/>
        </w:rPr>
        <w:t>, v. 24, n. 1, e636, 2024. DOI: https://doi.org/10.1186/s12888-024-06092-5.</w:t>
      </w:r>
    </w:p>
    <w:p>
      <w:pPr>
        <w:spacing w:before="0" w:after="120" w:line="240" w:lineRule="auto"/>
        <w:ind w:left="0" w:firstLine="0"/>
        <w:jc w:val="left"/>
      </w:pPr>
      <w:r>
        <w:rPr>
          <w:rFonts w:ascii="Times New Roman" w:hAnsi="Times New Roman"/>
          <w:i w:val="0"/>
          <w:sz w:val="24"/>
        </w:rPr>
        <w:t xml:space="preserve">TASSI, J. M. et al. Effect of a Four-Week Soccer Training Program Using Stressful Constraints on Team Resilience and Precompetitive Anxiety. </w:t>
      </w:r>
      <w:r>
        <w:rPr>
          <w:rFonts w:ascii="Times New Roman" w:hAnsi="Times New Roman"/>
          <w:b/>
          <w:sz w:val="24"/>
        </w:rPr>
        <w:t>International Journal of Environmental Research and Public Health</w:t>
      </w:r>
      <w:r>
        <w:rPr>
          <w:rFonts w:ascii="Times New Roman" w:hAnsi="Times New Roman"/>
          <w:i w:val="0"/>
          <w:sz w:val="24"/>
        </w:rPr>
        <w:t>, v. 20, n. 2, e1620, 2023. DOI: https://doi.org/10.3390/ijerph20021620.</w:t>
      </w:r>
    </w:p>
    <w:p>
      <w:pPr>
        <w:spacing w:before="0" w:after="120" w:line="240" w:lineRule="auto"/>
        <w:ind w:left="0" w:firstLine="0"/>
        <w:jc w:val="left"/>
      </w:pPr>
      <w:r>
        <w:rPr>
          <w:rFonts w:ascii="Times New Roman" w:hAnsi="Times New Roman"/>
          <w:i w:val="0"/>
          <w:sz w:val="24"/>
        </w:rPr>
        <w:t xml:space="preserve">TERRY, P. C. et al. Influence of sex, age, and education on mood profile clusters. </w:t>
      </w:r>
      <w:r>
        <w:rPr>
          <w:rFonts w:ascii="Times New Roman" w:hAnsi="Times New Roman"/>
          <w:b/>
          <w:sz w:val="24"/>
        </w:rPr>
        <w:t>PLOS ONE</w:t>
      </w:r>
      <w:r>
        <w:rPr>
          <w:rFonts w:ascii="Times New Roman" w:hAnsi="Times New Roman"/>
          <w:i w:val="0"/>
          <w:sz w:val="24"/>
        </w:rPr>
        <w:t>, v. 16, n. 2, e0245341, 2021. DOI: https://doi.org/10.1371/journal.pone.0245341.</w:t>
      </w:r>
    </w:p>
    <w:p>
      <w:pPr>
        <w:spacing w:before="0" w:after="120" w:line="240" w:lineRule="auto"/>
        <w:ind w:left="0" w:firstLine="0"/>
        <w:jc w:val="left"/>
      </w:pPr>
      <w:r>
        <w:rPr>
          <w:rFonts w:ascii="Times New Roman" w:hAnsi="Times New Roman"/>
          <w:i w:val="0"/>
          <w:sz w:val="24"/>
        </w:rPr>
        <w:t xml:space="preserve">TERRY, P. C. et al. Validation of a Lithuanian-Language Version of the Brunel Mood Scale: The BRUMS-LTU. </w:t>
      </w:r>
      <w:r>
        <w:rPr>
          <w:rFonts w:ascii="Times New Roman" w:hAnsi="Times New Roman"/>
          <w:b/>
          <w:sz w:val="24"/>
        </w:rPr>
        <w:t>International Journal of Environmental Research and Public Health</w:t>
      </w:r>
      <w:r>
        <w:rPr>
          <w:rFonts w:ascii="Times New Roman" w:hAnsi="Times New Roman"/>
          <w:i w:val="0"/>
          <w:sz w:val="24"/>
        </w:rPr>
        <w:t>, v. 19, n. 8, e4867, 2022. DOI: https://doi.org/10.3390/ijerph19084867.</w:t>
      </w:r>
    </w:p>
    <w:p>
      <w:pPr>
        <w:spacing w:before="0" w:after="120" w:line="240" w:lineRule="auto"/>
        <w:ind w:left="0" w:firstLine="0"/>
        <w:jc w:val="left"/>
      </w:pPr>
      <w:r>
        <w:rPr>
          <w:rFonts w:ascii="Times New Roman" w:hAnsi="Times New Roman"/>
          <w:i w:val="0"/>
          <w:sz w:val="24"/>
        </w:rPr>
        <w:t xml:space="preserve">TERRY, P. C.; LANE, A. M. Normative values for the profile of mood states for use with athletic samples. </w:t>
      </w:r>
      <w:r>
        <w:rPr>
          <w:rFonts w:ascii="Times New Roman" w:hAnsi="Times New Roman"/>
          <w:b/>
          <w:sz w:val="24"/>
        </w:rPr>
        <w:t>Journal of Applied Sport Psychology</w:t>
      </w:r>
      <w:r>
        <w:rPr>
          <w:rFonts w:ascii="Times New Roman" w:hAnsi="Times New Roman"/>
          <w:i w:val="0"/>
          <w:sz w:val="24"/>
        </w:rPr>
        <w:t>, v. 12, n. 1, p. 93-109, 2000. DOI: https://doi.org/10.1080/10413200008404215.</w:t>
      </w:r>
    </w:p>
    <w:p>
      <w:pPr>
        <w:spacing w:before="0" w:after="120" w:line="240" w:lineRule="auto"/>
        <w:ind w:left="0" w:firstLine="0"/>
        <w:jc w:val="left"/>
      </w:pPr>
      <w:r>
        <w:rPr>
          <w:rFonts w:ascii="Times New Roman" w:hAnsi="Times New Roman"/>
          <w:i w:val="0"/>
          <w:sz w:val="24"/>
        </w:rPr>
        <w:t xml:space="preserve">TERRY, P. C.; PARSONS-SMITH, R. L. Mood Profiling for Sustainable Mental Health among Athletes. </w:t>
      </w:r>
      <w:r>
        <w:rPr>
          <w:rFonts w:ascii="Times New Roman" w:hAnsi="Times New Roman"/>
          <w:b/>
          <w:sz w:val="24"/>
        </w:rPr>
        <w:t>Sustainability</w:t>
      </w:r>
      <w:r>
        <w:rPr>
          <w:rFonts w:ascii="Times New Roman" w:hAnsi="Times New Roman"/>
          <w:i w:val="0"/>
          <w:sz w:val="24"/>
        </w:rPr>
        <w:t>, v. 13, n. 11, e6116, 2021. DOI: https://doi.org/10.3390/su13116116.</w:t>
      </w:r>
    </w:p>
    <w:p>
      <w:pPr>
        <w:spacing w:before="0" w:after="120" w:line="240" w:lineRule="auto"/>
        <w:ind w:left="0" w:firstLine="0"/>
        <w:jc w:val="left"/>
      </w:pPr>
      <w:r>
        <w:rPr>
          <w:rFonts w:ascii="Times New Roman" w:hAnsi="Times New Roman"/>
          <w:i w:val="0"/>
          <w:sz w:val="24"/>
        </w:rPr>
        <w:t xml:space="preserve">TERRY, P.; LANE, A.; FOGARTY, G. Construct validity of the Profile of Mood States — Adolescents for use with adults. </w:t>
      </w:r>
      <w:r>
        <w:rPr>
          <w:rFonts w:ascii="Times New Roman" w:hAnsi="Times New Roman"/>
          <w:b/>
          <w:sz w:val="24"/>
        </w:rPr>
        <w:t>Psychology of Sport and Exercise</w:t>
      </w:r>
      <w:r>
        <w:rPr>
          <w:rFonts w:ascii="Times New Roman" w:hAnsi="Times New Roman"/>
          <w:i w:val="0"/>
          <w:sz w:val="24"/>
        </w:rPr>
        <w:t>, v. 4, n. 2, p. 125-139, 2003. DOI: https://doi.org/10.1016/S1469-0292(01)00035-8.</w:t>
      </w:r>
    </w:p>
    <w:p>
      <w:pPr>
        <w:spacing w:before="0" w:after="120" w:line="240" w:lineRule="auto"/>
        <w:ind w:left="0" w:firstLine="0"/>
        <w:jc w:val="left"/>
      </w:pPr>
      <w:r>
        <w:rPr>
          <w:rFonts w:ascii="Times New Roman" w:hAnsi="Times New Roman"/>
          <w:i w:val="0"/>
          <w:sz w:val="24"/>
        </w:rPr>
        <w:t xml:space="preserve">TREJO-SILVA, A. et al. Attacking performance analysis during 2-minute suspensions in female handball games at the Rio 2016 Olympic Games. </w:t>
      </w:r>
      <w:r>
        <w:rPr>
          <w:rFonts w:ascii="Times New Roman" w:hAnsi="Times New Roman"/>
          <w:b/>
          <w:sz w:val="24"/>
        </w:rPr>
        <w:t>Kinesiology</w:t>
      </w:r>
      <w:r>
        <w:rPr>
          <w:rFonts w:ascii="Times New Roman" w:hAnsi="Times New Roman"/>
          <w:i w:val="0"/>
          <w:sz w:val="24"/>
        </w:rPr>
        <w:t>, v. 57, n. 1, p. 3-14, 2025. DOI: https://doi.org/10.26582/k.57.1.1.</w:t>
      </w:r>
    </w:p>
    <w:p>
      <w:pPr>
        <w:spacing w:before="0" w:after="120" w:line="240" w:lineRule="auto"/>
        <w:ind w:left="0" w:firstLine="0"/>
        <w:jc w:val="left"/>
      </w:pPr>
      <w:r>
        <w:rPr>
          <w:rFonts w:ascii="Times New Roman" w:hAnsi="Times New Roman"/>
          <w:i w:val="0"/>
          <w:sz w:val="24"/>
        </w:rPr>
        <w:t xml:space="preserve">TRUONG, C.; OUDRE, L.; VAYATIS, N. Selective review of offline change point detection methods. </w:t>
      </w:r>
      <w:r>
        <w:rPr>
          <w:rFonts w:ascii="Times New Roman" w:hAnsi="Times New Roman"/>
          <w:b/>
          <w:sz w:val="24"/>
        </w:rPr>
        <w:t>Signal Processing</w:t>
      </w:r>
      <w:r>
        <w:rPr>
          <w:rFonts w:ascii="Times New Roman" w:hAnsi="Times New Roman"/>
          <w:i w:val="0"/>
          <w:sz w:val="24"/>
        </w:rPr>
        <w:t>, v. 167, e107299, 2020. DOI: https://doi.org/10.1016/j.sigpro.2019.107299.</w:t>
      </w:r>
    </w:p>
    <w:p>
      <w:pPr>
        <w:spacing w:before="0" w:after="120" w:line="240" w:lineRule="auto"/>
        <w:ind w:left="0" w:firstLine="0"/>
        <w:jc w:val="left"/>
      </w:pPr>
      <w:r>
        <w:rPr>
          <w:rFonts w:ascii="Times New Roman" w:hAnsi="Times New Roman"/>
          <w:i w:val="0"/>
          <w:sz w:val="24"/>
        </w:rPr>
        <w:t xml:space="preserve">VALDESALICI, A. et al. Effects of non-functional overreaching and overtraining syndrome on psychological and cognitive functioning in elite athletes: A systematic review. </w:t>
      </w:r>
      <w:r>
        <w:rPr>
          <w:rFonts w:ascii="Times New Roman" w:hAnsi="Times New Roman"/>
          <w:b/>
          <w:sz w:val="24"/>
        </w:rPr>
        <w:t>Psychology of Sport and Exercise</w:t>
      </w:r>
      <w:r>
        <w:rPr>
          <w:rFonts w:ascii="Times New Roman" w:hAnsi="Times New Roman"/>
          <w:i w:val="0"/>
          <w:sz w:val="24"/>
        </w:rPr>
        <w:t>, v. 84, e103079, 2026. DOI: https://doi.org/10.1016/j.psychsport.2026.103079.</w:t>
      </w:r>
    </w:p>
    <w:p>
      <w:pPr>
        <w:spacing w:before="0" w:after="120" w:line="240" w:lineRule="auto"/>
        <w:ind w:left="0" w:firstLine="0"/>
        <w:jc w:val="left"/>
      </w:pPr>
      <w:r>
        <w:rPr>
          <w:rFonts w:ascii="Times New Roman" w:hAnsi="Times New Roman"/>
          <w:i w:val="0"/>
          <w:sz w:val="24"/>
        </w:rPr>
        <w:t xml:space="preserve">VEILLETTE, P.-L. et al. Elite Ice Hockey Players’ Well-Being: A Scoping Review. </w:t>
      </w:r>
      <w:r>
        <w:rPr>
          <w:rFonts w:ascii="Times New Roman" w:hAnsi="Times New Roman"/>
          <w:b/>
          <w:sz w:val="24"/>
        </w:rPr>
        <w:t>Sports</w:t>
      </w:r>
      <w:r>
        <w:rPr>
          <w:rFonts w:ascii="Times New Roman" w:hAnsi="Times New Roman"/>
          <w:i w:val="0"/>
          <w:sz w:val="24"/>
        </w:rPr>
        <w:t>, v. 13, n. 7, e225, 2025. DOI: https://doi.org/10.3390/sports13070225.</w:t>
      </w:r>
    </w:p>
    <w:p>
      <w:pPr>
        <w:spacing w:before="0" w:after="120" w:line="240" w:lineRule="auto"/>
        <w:ind w:left="0" w:firstLine="0"/>
        <w:jc w:val="left"/>
      </w:pPr>
      <w:r>
        <w:rPr>
          <w:rFonts w:ascii="Times New Roman" w:hAnsi="Times New Roman"/>
          <w:i w:val="0"/>
          <w:sz w:val="24"/>
        </w:rPr>
        <w:t xml:space="preserve">VLACHOPOULOS, S. P.; LANE, A. M.; TERRY, P. C. A Greek Translation of the Brunel Mood Scale: Initial Validation among Exercise Participants and Inactive Adults. </w:t>
      </w:r>
      <w:r>
        <w:rPr>
          <w:rFonts w:ascii="Times New Roman" w:hAnsi="Times New Roman"/>
          <w:b/>
          <w:sz w:val="24"/>
        </w:rPr>
        <w:t>Sports</w:t>
      </w:r>
      <w:r>
        <w:rPr>
          <w:rFonts w:ascii="Times New Roman" w:hAnsi="Times New Roman"/>
          <w:i w:val="0"/>
          <w:sz w:val="24"/>
        </w:rPr>
        <w:t>, v. 11, n. 12, e234, 2023. DOI: https://doi.org/10.3390/sports11120234.</w:t>
      </w:r>
    </w:p>
    <w:p>
      <w:pPr>
        <w:spacing w:before="0" w:after="120" w:line="240" w:lineRule="auto"/>
        <w:ind w:left="0" w:firstLine="0"/>
        <w:jc w:val="left"/>
      </w:pPr>
      <w:r>
        <w:rPr>
          <w:rFonts w:ascii="Times New Roman" w:hAnsi="Times New Roman"/>
          <w:i w:val="0"/>
          <w:sz w:val="24"/>
        </w:rPr>
        <w:t xml:space="preserve">WAGNER, H.; RADIC, V.; HINZ, M. Differences in game-based performance by playing position in young elite male team handball players. </w:t>
      </w:r>
      <w:r>
        <w:rPr>
          <w:rFonts w:ascii="Times New Roman" w:hAnsi="Times New Roman"/>
          <w:b/>
          <w:sz w:val="24"/>
        </w:rPr>
        <w:t>Frontiers in Sports and Active Living</w:t>
      </w:r>
      <w:r>
        <w:rPr>
          <w:rFonts w:ascii="Times New Roman" w:hAnsi="Times New Roman"/>
          <w:i w:val="0"/>
          <w:sz w:val="24"/>
        </w:rPr>
        <w:t>, v. 7, e1688078, 2025. DOI: https://doi.org/10.3389/fspor.2025.1688078.</w:t>
      </w:r>
    </w:p>
    <w:p>
      <w:pPr>
        <w:spacing w:before="0" w:after="120" w:line="240" w:lineRule="auto"/>
        <w:ind w:left="0" w:firstLine="0"/>
        <w:jc w:val="left"/>
      </w:pPr>
      <w:r>
        <w:rPr>
          <w:rFonts w:ascii="Times New Roman" w:hAnsi="Times New Roman"/>
          <w:i w:val="0"/>
          <w:sz w:val="24"/>
        </w:rPr>
        <w:t xml:space="preserve">WALSH, E. et al. Sleep and Circadian Interventions to Improve Athletes’ Mental Health, Mood and Well-Being: A Systematic Review and Meta-Analysis. </w:t>
      </w:r>
      <w:r>
        <w:rPr>
          <w:rFonts w:ascii="Times New Roman" w:hAnsi="Times New Roman"/>
          <w:b/>
          <w:sz w:val="24"/>
        </w:rPr>
        <w:t>Sports Medicine</w:t>
      </w:r>
      <w:r>
        <w:rPr>
          <w:rFonts w:ascii="Times New Roman" w:hAnsi="Times New Roman"/>
          <w:i w:val="0"/>
          <w:sz w:val="24"/>
        </w:rPr>
        <w:t>, v. 56, n. 4, p. 997-1011, 2026. DOI: https://doi.org/10.1007/s40279-025-02387-z.</w:t>
      </w:r>
    </w:p>
    <w:p>
      <w:pPr>
        <w:spacing w:before="0" w:after="120" w:line="240" w:lineRule="auto"/>
        <w:ind w:left="0" w:firstLine="0"/>
        <w:jc w:val="left"/>
      </w:pPr>
      <w:r>
        <w:rPr>
          <w:rFonts w:ascii="Times New Roman" w:hAnsi="Times New Roman"/>
          <w:i w:val="0"/>
          <w:sz w:val="24"/>
        </w:rPr>
        <w:t xml:space="preserve">WALSH, N. P. et al. Sleep and the athlete: narrative review and 2021 expert consensus recommendations. </w:t>
      </w:r>
      <w:r>
        <w:rPr>
          <w:rFonts w:ascii="Times New Roman" w:hAnsi="Times New Roman"/>
          <w:b/>
          <w:sz w:val="24"/>
        </w:rPr>
        <w:t>British Journal of Sports Medicine</w:t>
      </w:r>
      <w:r>
        <w:rPr>
          <w:rFonts w:ascii="Times New Roman" w:hAnsi="Times New Roman"/>
          <w:i w:val="0"/>
          <w:sz w:val="24"/>
        </w:rPr>
        <w:t>, v. 55, n. 7, p. 356-368, 2021. DOI: https://doi.org/10.1136/bjsports-2020-102025.</w:t>
      </w:r>
    </w:p>
    <w:p>
      <w:pPr>
        <w:spacing w:before="0" w:after="120" w:line="240" w:lineRule="auto"/>
        <w:ind w:left="0" w:firstLine="0"/>
        <w:jc w:val="left"/>
      </w:pPr>
      <w:r>
        <w:rPr>
          <w:rFonts w:ascii="Times New Roman" w:hAnsi="Times New Roman"/>
          <w:i w:val="0"/>
          <w:sz w:val="24"/>
        </w:rPr>
        <w:t xml:space="preserve">WANG, X. et al. The association between team behaviors and competitive anxiety among team-handball players: the mediating role of achievement goals. </w:t>
      </w:r>
      <w:r>
        <w:rPr>
          <w:rFonts w:ascii="Times New Roman" w:hAnsi="Times New Roman"/>
          <w:b/>
          <w:sz w:val="24"/>
        </w:rPr>
        <w:t>Frontiers in Psychology</w:t>
      </w:r>
      <w:r>
        <w:rPr>
          <w:rFonts w:ascii="Times New Roman" w:hAnsi="Times New Roman"/>
          <w:i w:val="0"/>
          <w:sz w:val="24"/>
        </w:rPr>
        <w:t>, v. 15, e1417562, 2024. DOI: https://doi.org/10.3389/fpsyg.2024.1417562.</w:t>
      </w:r>
    </w:p>
    <w:p>
      <w:pPr>
        <w:spacing w:before="0" w:after="120" w:line="240" w:lineRule="auto"/>
        <w:ind w:left="0" w:firstLine="0"/>
        <w:jc w:val="left"/>
      </w:pPr>
      <w:r>
        <w:rPr>
          <w:rFonts w:ascii="Times New Roman" w:hAnsi="Times New Roman"/>
          <w:i w:val="0"/>
          <w:sz w:val="24"/>
        </w:rPr>
        <w:t xml:space="preserve">WANG, Y.; LEI, S.-M.; FAN, J. Effects of Mindfulness-Based Interventions on Promoting Athletic Performance and Related Factors among Athletes: A Systematic Review and Meta-Analysis of Randomized Controlled Trial. </w:t>
      </w:r>
      <w:r>
        <w:rPr>
          <w:rFonts w:ascii="Times New Roman" w:hAnsi="Times New Roman"/>
          <w:b/>
          <w:sz w:val="24"/>
        </w:rPr>
        <w:t>International Journal of Environmental Research and Public Health</w:t>
      </w:r>
      <w:r>
        <w:rPr>
          <w:rFonts w:ascii="Times New Roman" w:hAnsi="Times New Roman"/>
          <w:i w:val="0"/>
          <w:sz w:val="24"/>
        </w:rPr>
        <w:t>, v. 20, n. 3, e2038, 2023. DOI: https://doi.org/10.3390/ijerph20032038.</w:t>
      </w:r>
    </w:p>
    <w:p>
      <w:pPr>
        <w:spacing w:before="0" w:after="120" w:line="240" w:lineRule="auto"/>
        <w:ind w:left="0" w:firstLine="0"/>
        <w:jc w:val="left"/>
      </w:pPr>
      <w:r>
        <w:rPr>
          <w:rFonts w:ascii="Times New Roman" w:hAnsi="Times New Roman"/>
          <w:i w:val="0"/>
          <w:sz w:val="24"/>
        </w:rPr>
        <w:t xml:space="preserve">WATSON, D.; CLARK, L. A.; TELLEGEN, A. Development and validation of brief measures of positive and negative affect: The PANAS scales. </w:t>
      </w:r>
      <w:r>
        <w:rPr>
          <w:rFonts w:ascii="Times New Roman" w:hAnsi="Times New Roman"/>
          <w:b/>
          <w:sz w:val="24"/>
        </w:rPr>
        <w:t>Journal of Personality and Social Psychology</w:t>
      </w:r>
      <w:r>
        <w:rPr>
          <w:rFonts w:ascii="Times New Roman" w:hAnsi="Times New Roman"/>
          <w:i w:val="0"/>
          <w:sz w:val="24"/>
        </w:rPr>
        <w:t>, v. 54, n. 6, p. 1063-1070, 1988. DOI: https://doi.org/10.1037/0022-3514.54.6.1063.</w:t>
      </w:r>
    </w:p>
    <w:p>
      <w:pPr>
        <w:spacing w:before="0" w:after="120" w:line="240" w:lineRule="auto"/>
        <w:ind w:left="0" w:firstLine="0"/>
        <w:jc w:val="left"/>
      </w:pPr>
      <w:r>
        <w:rPr>
          <w:rFonts w:ascii="Times New Roman" w:hAnsi="Times New Roman"/>
          <w:i w:val="0"/>
          <w:sz w:val="24"/>
        </w:rPr>
        <w:t xml:space="preserve">WEAKLEY, J.; HALSON, S. L.; MUJIKA, I. Overtraining Syndrome Symptoms and Diagnosis in Athletes: Where Is the Research? A Systematic Review. </w:t>
      </w:r>
      <w:r>
        <w:rPr>
          <w:rFonts w:ascii="Times New Roman" w:hAnsi="Times New Roman"/>
          <w:b/>
          <w:sz w:val="24"/>
        </w:rPr>
        <w:t>International Journal of Sports Physiology and Performance</w:t>
      </w:r>
      <w:r>
        <w:rPr>
          <w:rFonts w:ascii="Times New Roman" w:hAnsi="Times New Roman"/>
          <w:i w:val="0"/>
          <w:sz w:val="24"/>
        </w:rPr>
        <w:t>, v. 17, n. 5, p. 675-681, 2022. DOI: https://doi.org/10.1123/ijspp.2021-0448.</w:t>
      </w:r>
    </w:p>
    <w:p>
      <w:pPr>
        <w:spacing w:before="0" w:after="120" w:line="240" w:lineRule="auto"/>
        <w:ind w:left="0" w:firstLine="0"/>
        <w:jc w:val="left"/>
      </w:pPr>
      <w:r>
        <w:rPr>
          <w:rFonts w:ascii="Times New Roman" w:hAnsi="Times New Roman"/>
          <w:i w:val="0"/>
          <w:sz w:val="24"/>
        </w:rPr>
        <w:t xml:space="preserve">YILMAZ, O. et al. Verbal encouragement in coaching: enhancing small-sided game performance in youth basketball players. </w:t>
      </w:r>
      <w:r>
        <w:rPr>
          <w:rFonts w:ascii="Times New Roman" w:hAnsi="Times New Roman"/>
          <w:b/>
          <w:sz w:val="24"/>
        </w:rPr>
        <w:t>Frontiers in Psychology</w:t>
      </w:r>
      <w:r>
        <w:rPr>
          <w:rFonts w:ascii="Times New Roman" w:hAnsi="Times New Roman"/>
          <w:i w:val="0"/>
          <w:sz w:val="24"/>
        </w:rPr>
        <w:t>, v. 16, e1512803, 2025. DOI: https://doi.org/10.3389/fpsyg.2025.1512803.</w:t>
      </w:r>
    </w:p>
    <w:p>
      <w:pPr>
        <w:spacing w:before="0" w:after="120" w:line="240" w:lineRule="auto"/>
        <w:ind w:left="0" w:firstLine="0"/>
        <w:jc w:val="left"/>
      </w:pPr>
      <w:r>
        <w:rPr>
          <w:rFonts w:ascii="Times New Roman" w:hAnsi="Times New Roman"/>
          <w:i w:val="0"/>
          <w:sz w:val="24"/>
        </w:rPr>
        <w:t xml:space="preserve">ZHANG, J. et al. The effect of mindfulness training on the psychological state of high-level athletes: Meta analysis and system evaluation research. </w:t>
      </w:r>
      <w:r>
        <w:rPr>
          <w:rFonts w:ascii="Times New Roman" w:hAnsi="Times New Roman"/>
          <w:b/>
          <w:sz w:val="24"/>
        </w:rPr>
        <w:t>Journal of Sports Sciences</w:t>
      </w:r>
      <w:r>
        <w:rPr>
          <w:rFonts w:ascii="Times New Roman" w:hAnsi="Times New Roman"/>
          <w:i w:val="0"/>
          <w:sz w:val="24"/>
        </w:rPr>
        <w:t>, v. 43, n. 6, p. 600-622, 2025. DOI: https://doi.org/10.1080/02640414.2025.2468997.</w:t>
      </w:r>
    </w:p>
    <w:p>
      <w:pPr>
        <w:spacing w:before="0" w:after="120" w:line="240" w:lineRule="auto"/>
        <w:ind w:left="0" w:firstLine="0"/>
        <w:jc w:val="left"/>
      </w:pPr>
      <w:r>
        <w:rPr>
          <w:rFonts w:ascii="Times New Roman" w:hAnsi="Times New Roman"/>
          <w:i w:val="0"/>
          <w:sz w:val="24"/>
        </w:rPr>
        <w:t xml:space="preserve">ZURITA ORTEGA, F. et al. Aspectos psicosomáticos implicados en las lesiones deportivas. </w:t>
      </w:r>
      <w:r>
        <w:rPr>
          <w:rFonts w:ascii="Times New Roman" w:hAnsi="Times New Roman"/>
          <w:b/>
          <w:sz w:val="24"/>
        </w:rPr>
        <w:t>Cuadernos de Psicología del Deporte</w:t>
      </w:r>
      <w:r>
        <w:rPr>
          <w:rFonts w:ascii="Times New Roman" w:hAnsi="Times New Roman"/>
          <w:i w:val="0"/>
          <w:sz w:val="24"/>
        </w:rPr>
        <w:t>, v. 14, n. 2, p. 81-88, 2014. DOI: https://doi.org/10.4321/s1578-84232014000200009.</w:t>
      </w:r>
    </w:p>
    <w:p>
      <w:pPr>
        <w:sectPr>
          <w:headerReference w:type="default" r:id="rId9"/>
          <w:pgSz w:w="11906" w:h="16838"/>
          <w:pgMar w:top="1701" w:right="1134" w:bottom="1134" w:left="1701" w:header="1134" w:footer="720" w:gutter="0"/>
          <w:cols w:space="720"/>
          <w:docGrid w:linePitch="360"/>
        </w:sectPr>
      </w:pPr>
    </w:p>
    <w:p>
      <w:pPr>
        <w:spacing w:before="0" w:after="120" w:line="360" w:lineRule="auto"/>
        <w:ind w:left="0" w:firstLine="0"/>
        <w:jc w:val="center"/>
      </w:pPr>
      <w:r>
        <w:rPr>
          <w:rFonts w:ascii="Times New Roman" w:hAnsi="Times New Roman"/>
          <w:b/>
          <w:sz w:val="24"/>
        </w:rPr>
        <w:t>APÊNDICE A – EXTRAÇÃO DOS DADOS DOS ESTUDOS INCLUÍDOS</w:t>
      </w:r>
    </w:p>
    <w:p>
      <w:pPr>
        <w:keepNext/>
        <w:spacing w:before="120" w:after="60" w:line="240" w:lineRule="auto"/>
        <w:ind w:left="0" w:firstLine="0"/>
        <w:jc w:val="both"/>
      </w:pPr>
      <w:r>
        <w:rPr>
          <w:rFonts w:ascii="Times New Roman" w:hAnsi="Times New Roman"/>
          <w:b/>
          <w:sz w:val="20"/>
        </w:rPr>
        <w:t>Quadro A1</w:t>
      </w:r>
      <w:r>
        <w:rPr>
          <w:rFonts w:ascii="Times New Roman" w:hAnsi="Times New Roman"/>
          <w:i w:val="0"/>
          <w:sz w:val="20"/>
        </w:rPr>
        <w:t xml:space="preserve"> – Extração dos dados dos estudos incluídos: identificação, país, amostra, delineamento, contexto e momento, instrumento e dimensões, variáveis e intervenção, principais resultados, direção do achado e qualidade metodológica</w:t>
      </w:r>
    </w:p>
    <w:tbl>
      <w:tblPr>
        <w:jc w:val="center"/>
        <w:tblLayout w:type="fixed"/>
        <w:tblLook w:firstColumn="1" w:firstRow="1" w:lastColumn="0" w:lastRow="0" w:noHBand="0" w:noVBand="1" w:val="04A0"/>
        <w:tblW w:w="14004" w:type="dxa"/>
        <w:tblLayout w:type="fixed"/>
      </w:tblPr>
      <w:tblGrid>
        <w:gridCol w:w="1360"/>
        <w:gridCol w:w="793"/>
        <w:gridCol w:w="1587"/>
        <w:gridCol w:w="1701"/>
        <w:gridCol w:w="1587"/>
        <w:gridCol w:w="1701"/>
        <w:gridCol w:w="3402"/>
        <w:gridCol w:w="907"/>
        <w:gridCol w:w="963"/>
      </w:tblGrid>
      <w:tr>
        <w:trPr>
          <w:tblHeader w:val="true"/>
        </w:trPr>
        <w:tc>
          <w:tcPr>
            <w:tcW w:w="1360"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Estudo</w:t>
            </w:r>
          </w:p>
        </w:tc>
        <w:tc>
          <w:tcPr>
            <w:tcW w:w="793"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País</w:t>
            </w:r>
          </w:p>
        </w:tc>
        <w:tc>
          <w:tcPr>
            <w:tcW w:w="1587"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Amostra</w:t>
            </w:r>
          </w:p>
        </w:tc>
        <w:tc>
          <w:tcPr>
            <w:tcW w:w="1701"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Delineamento, contexto e momento</w:t>
            </w:r>
          </w:p>
        </w:tc>
        <w:tc>
          <w:tcPr>
            <w:tcW w:w="1587"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Instrumento e dimensões</w:t>
            </w:r>
          </w:p>
        </w:tc>
        <w:tc>
          <w:tcPr>
            <w:tcW w:w="1701"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Outras variáveis e intervenção</w:t>
            </w:r>
          </w:p>
        </w:tc>
        <w:tc>
          <w:tcPr>
            <w:tcW w:w="3402"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Principais resultados sobre o humor</w:t>
            </w:r>
          </w:p>
        </w:tc>
        <w:tc>
          <w:tcPr>
            <w:tcW w:w="907"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Direção</w:t>
            </w:r>
          </w:p>
        </w:tc>
        <w:tc>
          <w:tcPr>
            <w:tcW w:w="963"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Qualidade Q1 a Q6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Farzanegi et al. ([2008?])</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Irã</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n.r.; feminino; n.r.; universitário;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quase-experimental; competição oficial. Momento: antes e depois da competição (cortisol também durante)</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n.r.). Dimensões: n.r.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cortisol salivar; resultado da partida (vitória ou derrota).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Segundo o resumo, o escore do POMS aumentou de forma significativa na competição em relação ao momento pré. O cortisol salivar subiu após a partida e a variação dependeu do resultado do jogo. O resumo não traz valores numéricos acessíveis.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3/6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Bresciani et al. (2010)</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14; masculino; 20,1 ± 2,5 anos; nacional;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período competitivo. Momento: cinco sessões na temporada de 40 semanas (T1 antes do período preparatório; T2 fim do preparatório; T3 e T4 fim do 1º e do 2º período competitivo; T5 após 7 semanas de recuperação), entre 9h e 11h, 24 h após o treino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POMS-65 (versão espanhola). Dimensões: tensão, depressão, raiva, vigor, fadiga, confusão, PTH</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RESTQ-Sport; carga de treino (PSE da sessão); proteína C-reativa; GSH, GSSG e GSH/GSSG; mieloperoxidase; hemograma; creatina quinase.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PTH não mudou ao longo da temporada (T1 119,0 ± 27,3; T3 129,0 ± 42,9; T5 119,2 ± 29,1). A raiva aumentou em T3 (14,1 ± 10,1 contra 8,7 ± 6,9 em T1; p &lt; 0,05). O vigor aumentou em T4 (20,6 ± 4,4 contra 19,1 ± 3,8; p &lt; 0,05). Subescalas do RESTQ-Sport correlacionaram-se com a carga (Estar em Forma R² = 0,93).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Rocha, Lopes e Moraes (2010)</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Brasil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18; misto; n.r.; n.r.;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laboratório. Momento: durante a corrida em esteira de 20 min, 11 vezes por sessão (3º ao 20º minuto), em quatro sessões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Feeling Scale (Escala de Afeto de Hardy e Rejeski, 1989; +5 a -5). Dimensões: valência afetiva (prazer ou desprazer)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PSE (Borg CR-10); frequência cardíaca; cortisol salivar. Intervenção: Manipulação verbal da informação sobre a duração da corrida a 70% da velocidade de pico: linha de base, fragmentada, superestimada e indefinida.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afeto apresentou diferença significativa apenas nas sessões fragmentada e superestimada, nos minutos após o 10º minuto, momento da manipulação verbal da duração. O cortisol subiu no 11º minuto nessas sessões (11,59 ± 1,92 e 10,69 ± 1,48 contra 9,26 ± 1,54 nmol/l na linha de base; p &lt; 0,05). Os escores de afeto aparecem só em figura, sem valores numéricos no texto.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Schiavini e Arena (2010)</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Brasil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51; feminino; 18 a 33 anos; universitário;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competição oficial. Momento: cerca de 40 a 45 min antes de cada um dos dois jogos da semifinal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LEA-RI (Lista de Estados de Ânimo Reduzida e Ilustrada; Volp, 2000). Dimensões: 14 adjetivos de estados de ânimo, agrupados em positivos e negativos</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resultado da partida (placar).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As equipes vencedoras A e C tiveram mais respostas de intensidade "muito" nos adjetivos positivos (31 % e 28 %) que as adversárias B e D (22 % e 19 %). Nos adjetivos negativos, A teve 0 %, B 4 %, C 7 % e D 4 %. A análise foi só descritiva, sem teste estatístico. As equipes com ânimo mais positivo venceram (22 x 11 e 21 x 10).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Descritivo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Al-Wattar e Al-Badrane (2014)</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Iraque</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20; n.r.; 18 a 20 anos; formação/juvenil;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quase-experimental; treinamento. Momento: antes e depois do programa (detalhe n.r. no resumo)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BRUMS (Brunel Mood Scale; Terry et al., 2003; versão árabe adaptada). Dimensões: tensão, depressão, raiva, vigor, fadiga, confusão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n.r.. Intervenção: Programa de treinamento psicológico com estratégias de autorregulação do humor, aplicado a jovens jogadores do Mosul Sports Club.</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Segundo o resumo, o programa reduziu os escores dos eixos negativos da escala e elevou o eixo positivo (vigor) no grupo experimental. Os autores consideram o programa muito eficaz para converter humor negativo em positivo. Valores numéricos n.r. no resumo.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2/6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Zurita Ortega et al. (2014)</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48; feminino; 18,8 ± 0,20 anos (faixa de 16 a 26 anos); nacional;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período competitivo. Momento: Uma vez por mês, no último dia de cada mês, ao longo da temporada (novembro de 2010 a maio de 2011), no pavilhão de treino.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espanhola de Andrade, Arce e Seoane, 2002; 48 itens). Dimensões: cólera, depressão, tensão, fadiga, vigor, amizade (escore total usado na análise)</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ocorrência de lesões (autorregistro), tempo de inatividade, ansiedade traço/estado (STAI), ansiedade precompetitiva (CSAI-2R), apoio social familiar, idade, categoria, posição, anos de competição.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escore do POMS entrou num conjunto de variáveis físicas e psicológicas numa regressão logística por passos. O conjunto classificou corretamente 88,89% dos casos de lesão. O efeito individual do humor não foi relatado. O modelo só com variáveis psicológicas excluiu o POMS e atingiu 75,51%.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Não determinável</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Montes e Gomes (2014)</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Portugal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14; masculino; 18 a 35 anos; nacional;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período competitivo. Momento: três momentos: M1 início da temporada, M2 após mesociclo preparatório, M3 no período competitivo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n.r.). Dimensões: tensão (demais subescalas n.r. no resumo)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resistência anaeróbia (Yo-Yo Intermittent Recovery Test).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escala tensão do POMS foi significativamente maior em M1 que em M2 e M3. A resistência anaeróbia não variou de forma relevante. Não houve correlação entre a variação da condição física e os estados de humor. O resumo não traz valores numéricos.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Pereira et al. (2014)</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Brasil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7; feminino; 14 a 16 anos (amostra total); escolar;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treinamento. Momento: uma vez, antes do treino, após 48 h sem treinamento; referência aos últimos sete dias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reduzida adaptada (escala de 0 a 4). Dimensões: tensão, depressão, hostilidade, vigor, fadiga, confusão; PTH</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CK, LDH, PCR-us, atividade nervosa autonômica cardíaca (VFC, LF/HF), sonolência diurna (Escala de Epworth), padrão de sono, carga de treino e atividades escolares.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As sete atletas de handebol tiveram PTH de 108,6 ± 14,71, sem diferença significativa em relação ao valor de referência de 100 pontos (teste t de uma amostra; p = 0,1740). Cinco delas (70%) tiveram PTH acima da referência. Fadiga 9,1 ± 4,5 e vigor 16,6 ± 4,4. Os meninos do basquetebol (n = 11) tiveram PTH de 97,5 ± 6,8 (p = 0,2410).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Sem efeito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Lagner et al. (2015)</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Alemanha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61; masculino; 30,46 ± 8,29 anos (amostra analisada); 31,63 ± 8,63 anos (80 testados); amador;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quase-experimental; competição oficial. Momento: Quatro medidas em cada condição: 30 min antes do jogo ou treino, logo após, durante e ao final da bateria cognitiva; após jogo vencido e após treino, em ordem contrabalançada.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Self-Assessment Manikin (SAM), subescala de estado afetivo (escala de 9 pontos). Dimensões: valência afetiva (estado afetivo positivo a negativo)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memória episódica, memória de curto prazo numérica e visuoespacial, memória prospectiva, fluência verbal, flexibilidade cognitiva, pressão arterial sistólica, motivação, interesse, dificuldade percebida.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humor foi mais positivo após o jogo vencido que após o treino (F(1,180) = 30,48; p &lt; 0,001; η2 = 0,34), com efeito do momento (F = 13,20; p &lt; 0,001) e interação (F = 11,86; p &lt; 0,001). O humor piorou durante a testagem nas duas condições, mas ficou mais positivo após o jogo em todos os momentos. A memória episódica e a de curto prazo foram piores após o jogo (por exemplo, memória episódica de longo prazo F(1,60) = 14,26; p &lt; 0,001; ηp2 = 0,19), e o controle executivo não diferiu. Com o humor como covariável, as diferenças de memória deixaram de ser significativas.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Buchheit (2015)</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Não relatado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37; n.r.; n.r. (adolescentes); formação/juvenil;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período competitivo. Momento: 11 ocasiões mensais, de setembro a maio, na temporada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n.r.). Dimensões: n.r. no resumo (o resumo cita humor e fadiga percebidos)</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FC de repouso, VFC, sprint de 10 m, salto com contramovimento, 30-15 Intermittent Fitness Test; carga semanal de treino (10 ± 2,1 h/semana).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sensibilidade da FC e das medidas psicométricas (POMS) para detectar mudanças no desempenho físico foi baixa (&lt; 20%). A especificidade foi alta (&gt; 75%) para todos os marcadores e testes. As diferenças de desempenho entre jogadores com melhor ou pior estado de treino estimado foram quase certamente triviais. O autor conclui que medidas mensais de humor e fadiga percebidos têm limitação para prever mudanças de desempenho na temporada.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Sem efeito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3/6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Khazdozi, Bahari e Ashayeri (2017)</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Irã</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24; feminino; n.r.; nacional;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quase-experimental; treinamento. Momento: Antes e depois do programa de aquecimento (pré-teste e pós-teste).</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Questionário de humor de atletas atribuído a Brooms (versão persa, 32 itens, 8 componentes; provável adaptação da BRUMS). Dimensões: estresse, vivacidade, confusão, fadiga, felicidade, calamidade, depressão, raiva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motivação para o treino (questionário de motivação esportiva, 28 itens). Intervenção: Aquecimento com música (grupo experimental, n = 12) contra aquecimento sem música (grupo controle, n = 12); duração e tipo de música não descritos.</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variação do humor do pré para o pós-teste diferiu entre os grupos (Mann-Whitney U = 22; Z = -2,899; p = 0,003). Não houve diferença na motivação para o treino (U = 46; Z = -1,503; p = 0,143). Médias e desvios do humor não foram relatados em tabela.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2/6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Obregón Sibón et al. (2017)</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Não relatado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12; masculino; 28,46 ± 5,48 anos; n.r.;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quase-experimental; competição oficial. Momento: antes e depois de uma partida de handebol (pós-teste após o jogo)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forma breve (questionário de McNair). Dimensões: fadiga, vigor, tensão (outras n.r. no resumo)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limiar mecânico nociceptivo (algometria de pressão) dos músculos do ombro.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Após a partida, a fadiga aumentou (t = -4,408; p &lt; 0,001) e o vigor mudou de forma significativa (t = -4,259; p &lt; 0,001); a tensão não mudou (t = -0,088; p = 0,931). O limiar mecânico nociceptivo do ombro aumentou (hipoalgesia). A fadiga psicológica teve correlação positiva e o vigor correlação negativa com o limiar nociceptivo após o jogo.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3/6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Assunção Carvalho et al. (2018)</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Brasil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25; masculino; 18,6 ± 2,4 anos (faixa de 16 a 23 anos); formação/juvenil;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ensaio randomizado; treinamento. Momento: No início e após 28 dias de suplementação.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adaptado ao esporte por Raglin e Morgan (1994), 36 itens. Dimensões: tensão, depressão, hostilidade, fadiga, confusão, vigor, perturbação total do humor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MDA, capacidade antioxidante total, CK, LDH, VO2max (20 m shuttle run), salto vertical, RAST, índice de fadiga, composição corporal, ingestão alimentar. Intervenção: Néctar de Syzygium cumini (jamelão), 10 mL/kg/dia antes e após o treino por 28 dias, contra bebida placebo com maltodextrina; duplo-cego.</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Na perturbação total do humor houve efeito do tempo (F = 10,509; p = 0,004; η2 = 0,31) e interação (F = 5,336; p = 0,030). Só o grupo suplementado melhorou (100,7 ± 17,0 para 89,7 ± 11,6; p = 0,004), sem diferença entre grupos. A confusão caiu só no grupo suplementado (-1,7 para -3,8; interação F = 10,344; p = 0,004), sem diferença entre grupos (p = 0,159). A variação da CK correlacionou-se com a da perturbação do humor no grupo suplementado (r = 0,74; p = 0,006).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6/6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Durai e Athisayaraj (2018)</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Índia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12; masculino; 18 a 23 anos; universitário;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n.r.. Momento: n.r.</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(manual de McNair, Lorr e Droppleman). Dimensões: tensão, depressão, raiva, vigor, fadiga, confusão (escore total)</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modalidade (comparação com 12 jogadores de voleibol).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escore de humor dos jogadores de handebol (85,12 ± 9,31) foi maior que o dos jogadores de voleibol (80,23 ± 7,12), com t = 4,52 (gl = 22; p &lt; 0,05). Os autores concluem que os jogadores de handebol foram melhores no humor.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3/6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Padilhas et al. (2018)</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Brasil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17; feminino; 27,1 ± 3,8 anos; elite/profissional; praia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treinamento. Momento: Antes do início da intertemporada (E1), no 8º dia (E2) e no 18º dia (E3) do período de treino pré-competitivo.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não especificada no resumo; referências citam a versão reduzida portuguesa de Viana, Almeida e Santos, 2001). Dimensões: fadiga, perturbação total do humor (demais subescalas n.r. no resumo)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CK, LDH, modulação autonômica cardíaca (ECG), carga de treino modulada. Intervenção: Cargas de treino ajustadas pela comissão técnica conforme a resposta fisiológica individual por 18 dias.</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fadiga do POMS subiu de E1 (2,06 ± 2,61) para E2 (4,82 ± 4,05) e E3 (5,5 ± 4,8). A perturbação total do humor não mudou. A CK aumentou de E1 para E2 (131,1 para 212,9) e a LDH caiu de E2 para E3.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Lisenchuk et al. (2019)</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Ucrânia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32; feminino; 19 a 21 anos; elite/profissional;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treinamento. Momento: Uma avaliação por atleta, conforme a fase do ciclo ovariano-menstrual em que se encontrava (menstrual n = 5; pós-menstrual n = 7; ovulatória n = 3; pós-ovulatória n = 8; pré-menstrual n = 9), durante o processo de treino.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Método EMPA (sentimento emocional, humor e atividade física; equivalente ao teste SAN). Dimensões: emoção (bem-estar), humor, atividade física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percepção subjetiva de sintomas (questionário de Giessen), fase do ciclo ovariano-menstrual.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humor ficou mais baixo nas fases menstrual (4,24 ± 0,10), ovulatória (4,17 ± 0,14) e pré-menstrual (4,11 ± 0,16) que nas fases pós-menstrual e pós-ovulatória (5,31). Os autores classificam esses valores como abaixo da norma, sem teste entre fases. O coeficiente de contingência entre nível do EMPA e fase do ciclo foi C = 0,742 (p ≤ 0,001). O estado de saúde correlacionou-se inversamente com a intensidade das queixas (Rxy = -0,72; p &lt; 0,05).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2/6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Mon-López et al. (2020)</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187; misto; homens 23,61 ± 6,19 anos; mulheres 22,65 ± 4,62 anos; elite/profissional e nacional (77 profissionais e 110 não profissionais, todos federados);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período de isolamento pela Covid-19, sem treino coletivo nem competição. Momento: uma vez, por questionário on-line, entre 16 e 26 de abril de 2020, após cerca de 35 dias de confinamento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espanhola validada, 30 itens: Q35 a Q64). Dimensões: tensão-ansiedade, depressão, raiva, vigor, fadiga, amizade</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PSE do treino, dias e horas de treino, horas e qualidade do sono (antes e durante o isolamento), inteligência emocional (WLEIS-S), resiliência (BRS).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As mulheres relataram mais depressão (8,26 ± 3,64 contra 6,75 ± 4,00; p = 0,012) e mais fadiga (8,65 contra 7,50; p = 0,045), e os homens mais vigor (11,98 contra 10,74; p = 0,03). Na regressão hierárquica, depressão (β = 0,25), vigor (β = 0,24) e fadiga (β = -0,28) predisseram os dias de treino no confinamento (R² = 0,11; p &lt; 0,001), com padrão semelhante para as horas de treino (R² = 0,09; p = 0,01). A tensão-ansiedade predisse menor qualidade do sono (β = -0,25; p = 0,01) e a amizade predisse menos horas de sono (β = -0,22; p = 0,03). O humor não predisse a PSE no primeiro passo do modelo (p = 0,176).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Reigal et al. (2020)</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181; misto; 25,68 ± 5,95 anos; nacional (equipes classificadas para a Copa da Espanha de 2016); praia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competição oficial. Momento: uma vez, 24 h antes do primeiro jogo da Copa da Espanha de handebol de praia de 2016</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espanhola de Arce, Andrade e Seoane, 65 adjetivos, escala de 0 a 4). Dimensões: tensão, depressão, raiva, vigor, fadiga (confusão e amizade previstas no instrumento, mas não relatadas)</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perfil psicológico esportivo (SPPI/IPED), ansiedade competitiva e autoconfiança (CSAI-2), autoeficácia geral (GSES).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As médias do POMS na amostra total foram tensão 1,72 ± 0,84, vigor 2,91 ± 0,68, depressão 0,62 ± 0,81, raiva 1,14 ± 0,77 e fadiga 1,16 ± 0,93. As habilidades psicológicas correlacionaram-se de forma negativa com as dimensões negativas do humor e de forma positiva com o vigor (por exemplo, controle de enfrentamento negativo e tensão, r = -0,39; p &lt; 0,001). Nas regressões, o controle de enfrentamento negativo predisse a tensão (β = -0,462; R² = 0,21), o nível motivacional e o controle atitudinal predisseram o vigor (R² = 0,22), e a autoconfiança predisse depressão (β = -0,275) e fadiga (β = -0,317).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Soto, García-Herrero e Carcedo (2020)</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Chile</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39; feminino; 19,97 ± 3,60 anos; elite/profissional (seleções nacionais adulta, júnior e juvenil do Chile);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ensaio randomizado; laboratório (tarefa experimental de arremesso). Momento: antes e depois da tarefa de arremesso com feedback</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PANAS (versão espanhola, 20 itens). Dimensões: afeto positivo, afeto negativo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vitalidade subjetiva, valorização da competência, competência percebida, motivação autônoma, velocidade e precisão do arremesso. Intervenção: feedback verbal pré-estabelecido durante 30 arremessos: positivo (n = 13), negativo (n = 13) ou ausente (n = 13)</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Entre as variáveis psicológicas, só o afeto positivo teve interação feedback × tempo significativa (F = 4,63; p &lt; 0,05). O grupo com feedback negativo reduziu o afeto positivo (mediana 4,20 para 3,70; delta de Cliff = 0,36; p &lt; 0,01), sem mudança nos grupos com feedback positivo ou sem feedback. O afeto negativo não variou (interação F = 1,70; n.s.).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6/6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Nugraha, Wibowo e Firmansyah (2020)</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Indonésia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40; misto; 9,1 ± 0,54 anos; escolar;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n.r.. Momento: antes da atividade de jogo de invasão (handebol modificado, 4 contra 4, 8 min) em aula de educação física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Brief Mood Introspection Scale (BMIS), 16 itens, escala Likert de 4 pontos (adaptada). Dimensões: humor agradável (ativo, calmo, carinhoso, contente, feliz, animado, amoroso, entusiasmado), humor desagradável (sonolento, farto, melancólico, irritado, agitado, nervoso, triste, cansado) e escore total agradável-desagradável</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desempenho de jogo (GPAI: tomada de decisão, execução e suporte) e envolvimento no jogo.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humor agradável correlacionou com o desempenho de jogo (r = 0,336; p = 0,034) e com o envolvimento no jogo (r = 0,587; p &lt; 0,001). O escore desagradável (pontuação invertida) correlacionou com o envolvimento (r = 0,508; p = 0,001), mas não com o desempenho (r = 0,170; p = 0,294). O escore total correlacionou com o envolvimento (r = 0,585; p &lt; 0,001), sem correlação significativa com o desempenho (r = 0,266; p = 0,097). Médias: agradável 2,95 ± 0,66; desagradável 2,78 ± 0,76.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Batalla-Gavalda et al. (2021)</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16; feminino; 15,94 ± 0,68 anos; formação/juvenil;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confinamento domiciliar por COVID-19 (treino e competição suspensos). Momento: semana 1 (início do confinamento domiciliar), semana 6 (início do confinamento parcial) e semana 10 (fim do confinamento parcial)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POMS-58 (versão espanhola). Dimensões: tensão, depressão, raiva, vigor, fadiga, confusão, PTH</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sexo e modalidade (atletismo, handebol, natação) como fatores de comparação.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Nas handebolistas (Tabela S2), a PTH foi 136,94 ± 26,62 na semana 1, 139,81 ± 32,33 na semana 6 e 135,54 ± 33,26 na semana 10, sempre maior que no atletismo (pBonferroni = 0,024; 0,016; 0,013). O handebol teve mais depressão que o atletismo nas semanas 6 e 10 (10,85 ± 8,51 na semana 10; pBonferroni = 0,012), mais confusão nas semanas 6 e 10 (pBonferroni = 0,001) e mais raiva na semana 6 (14,53 ± 9,32; p = 0,005 contra atletismo e p = 0,030 contra natação). A tensão foi maior que na natação na semana 6 (p = 0,020); vigor e fadiga não diferiram entre esportes. A variação temporal dentro do handebol não foi testada.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6/6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García-Herrero et al. (2022)</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73; feminino; 23,13 ± 4,05 anos; elite/profissional (Liga Iberdrola, primeira divisão espanhola);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ensaio randomizado; laboratório (tarefa experimental de arremesso). Momento: antes e depois da tarefa de arremesso com feedback</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PANAS (versão espanhola, 20 itens). Dimensões: afeto positivo, afeto negativo (bem-estar subjetivo)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satisfação com o treinador, valorização e percepção de competência, motivação autônoma, amotivação, velocidade e precisão do arremesso. Intervenção: feedback comparativo pré-estabelecido (positivo, negativo ou ausente) durante 21 arremessos, analisado segundo satisfação baixa ou alta com o treinador</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Não houve efeito significativo de satisfação, feedback, tempo ou interações sobre o afeto positivo (por exemplo, F × T = 1,45) nem sobre o afeto negativo (F × T = 0,04). As medianas do afeto positivo ficaram entre 3,30 e 4,10 e as do afeto negativo entre 1,20 e 1,50 nos seis grupos. Os efeitos do feedback apareceram só na competência, na motivação autônoma e na velocidade do arremesso, nas atletas com baixa satisfação com o treinador.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Sem efeito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6/6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Ghazel et al. (2022)</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Tunísia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14; feminino; 21 a 24 anos; n.r.;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laboratório. Momento: em cada fase do ciclo menstrual (menstrual, folicular e lútea)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n.r.). Dimensões: ansiedade (tensão), raiva e confusão relatadas no resumo; demais dimensões n.r.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squat jump, salto com contramovimento, agilidade (T-test), sprints repetidos, PSE, condição com e sem música. Intervenção: música de ritmo rápido (140 bpm) contra ausência de música, em ordem aleatória, em cada fase do ciclo menstrual</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ansiedade, a raiva e a confusão foram maiores na fase menstrual que nas fases lútea e folicular. O resumo não informa médias, valores de p nem tamanho de efeito. A fase do ciclo não alterou o desempenho físico.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3/6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Sahli et al. (2022)</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Tunísia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20; masculino; 16 ± 1 anos; escolar (alunos do ensino secundário sem experiência competitiva no handebol);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aula de educação física (jogo reduzido de passes). Momento: no intervalo de recuperação entre as duas séries de 10 min e após o jogo, em cada uma das três sessões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Feeling Scale (Hardy e Rejeski, 1989; -5 a +5). Dimensões: valência afetiva (prazer e desprazer)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número de passes, PSE (Borg CR10). Intervenção: três condições em ordem aleatória: encorajamento verbal combinado com instrução técnica, só instrução técnica e controle sem instrução</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Para PSE e Feeling Scale houve efeito de condição (F ≥ 9,2; p &lt; 0,001; ηp² = 0,32), de tempo (F ≥ 16,2; p &lt; 0,001; ηp² ≥ 0,46) e de interação (F ≥ 4,5; p ≤ 0,018; ηp² ≥ 0,19). A Feeling Scale foi maior na condição combinada que no controle durante a recuperação. Nas condições de instrução técnica e controle o escore caiu da recuperação para o pós-jogo, mas não na condição combinada.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6/6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Essid et al. (2022)</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Tunísia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18; masculino; n.r. (título: jovens); elite/profissional (jovens de elite);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(ordem contrabalançada de três horários: 10h, 14h e 18h); n.r. (sessões de teste). Momento: antes dos testes físicos, em cada horário (10h, 14h e 18h)</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n.r. no resumo). Dimensões: ansiedade, raiva, confusão, depressão, fadiga, vigor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questionário de Hooper; tempo de reação simples e de escolha; atenção seletiva (Stroop); RSA; velocidade de arremesso; temperatura oral. Intervenção: não se aplica (manipulação do horário do dia)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Os estados de humor negativos (ansiedade, raiva, confusão, depressão e fadiga) foram maiores pela manhã. O vigor foi maior à noite. O resumo não traz médias nem valores de p.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Lujic, Prskalo e Bratko (2023)</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Croácia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407; n.r.; 13 a 14 anos (coortes nascidas em 2006 e 2007); formação/juvenil (clubes e escolas de handebol, treino ao menos 4 vezes por semana há pelo menos 1 ano);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treinamento. Momento: uma vez, antes ou depois do treino nos clubes; o PANAS refere-se à última semana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PANAS (adaptação croata de Križanić, 16 itens, escala de 1 a 7). Dimensões: afeto positivo, afeto negativo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satisfação com a vida (Life Satisfaction Scale); comparação com 349 adolescentes inativos.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Os handebolistas relataram mais afeto positivo que os inativos (4,71 ± 1,06 contra 4,24 ± 1,10; t = 6,07; p &lt; 0,001; d = 0,42). Os handebolistas relataram menos afeto negativo (2,82 ± 1,03 contra 3,37 ± 1,17; t = -6,95; p &lt; 0,001; d = 0,48). A satisfação com a vida também foi maior nos handebolistas (82,54 contra 75,02; d = 0,55).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Miralles-Amorós et al. (2023)</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21; feminino; 22 ± 4 anos; elite/profissional (campeãs da Supercopa e da Copa da Rainha);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ensaio randomizado; pré-temporada e início do período competitivo (agosto a novembro de 2022). Momento: três medidas: PRE (agosto de 2022), PER (meio da intervenção) e POST (novembro de 2022, semana 12)</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abreviado (30 itens, escala de 0 a 4). Dimensões: tensão, depressão, raiva, vigor, fadiga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comportamento alimentar (EAT-26), imagem corporal (BSQ), ingestão alimentar, peso, IMC, disponibilidade energética. Intervenção: plano alimentar personalizado por 12 semanas: dieta livre com recomendações (controle), dieta mediterrânea ou dieta rica em antioxidantes (7 atletas por grupo)</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Não houve diferenças entre os planos alimentares em nenhuma dimensão do POMS, nem mudanças em vigor e fadiga. Tensão e raiva caíram em alguns grupos só nos testes post hoc sem correção (por exemplo, raiva na dieta rica em antioxidantes, PER para POST, p = 0,007), sem significância com Tukey ou Bonferroni. A depressão variou no tempo em todos os grupos, mas só duas comparações resistiram à correção (dieta livre PRE para PER, p = 0,041; dieta mediterrânea PER para POST, p = 0,040).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6/6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Ivanović e Ivanović (2023)</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Sérvia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132; n.r.; 18,25 ± 0,90 anos no resumo; 18,25 ± 2,20 anos no método (faixa 17 a 21); formação/juvenil;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treinamento. Momento: aplicação única durante treino regular, em fevereiro de 2023; o PANAS refere os últimos dias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PANAS (versão sérvia, Mihić et al., 2014). Dimensões: afeto positivo, afeto negativo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avaliação objetiva e subjetiva da saúde, solidão (DJGLS), satisfação com a vida (SWLS), depressão, ansiedade e estresse (DASS-21).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As médias foram 15,08 ± 3,25 para afeto positivo e 7,05 ± 3,01 para afeto negativo. Na regressão múltipla, a solidão foi preditor significativo do afeto positivo (β = 0,29 com saúde objetiva; β = -0,32 com saúde subjetiva) e do afeto negativo (β = 0,27; β = -0,28). A avaliação subjetiva da saúde predisse o afeto positivo (β = -0,13) e interagiu com a solidão (β = 0,19). A saúde objetiva não predisse os afetos.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Morenas-Aguilar et al. (2023)</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Não relatado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8; feminino; 19,8 ± 1,9 anos; amador;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treinamento. Momento: início de cada sessão de teste, em três fases do ciclo menstrual (folicular inicial, folicular tardia, lútea média) em dois meses (seis sessões)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SAM (Self-Assessment Manikin), escala de valência. Dimensões: valência afetiva (estado de humor)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altura do salto com contramovimento, velocidade de arremesso, dor percebida (EVA), fase do ciclo menstrual (calendário e LH urinário).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teste de Friedman não mostrou diferença na valência do SAM entre as fases do ciclo menstrual (p = 0,639). A dor percebida também não variou (p = 0,565). Médias e DP do SAM ficam na Tabela 1 e na Figura 1, ausentes do manuscrito aberto.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Sem efeito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Sahli et al. (2024)</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Tunísia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28; misto; 17,4 ± 2,08 anos (meninos 17,5 ± 2,4; meninas 17,3 ± 1,7); escolar;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ensaio randomizado (declarado pelos autores; grupos VEI e VEC); treinamento. Momento: antes e depois de cada uma das duas sessões de jogo 7x7 (o texto também cita aplicação logo após cada sessão)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BRUMS-24 (versão árabe). Dimensões: tensão, depressão, raiva, vigor, fadiga, confusão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habilidades técnico-táticas (bolas jogadas, conquistadas e perdidas, arremessos/gols, índices de conservação e defensivo); antropometria. Intervenção: encorajamento verbal individual do professor (VEI) contra encorajamento verbal coletivo durante o jogo (VEC), em duas sessões de jogos 7x7 de handebol</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VEI gerou maior queda de depressão e fadiga que o VEC nos dois sexos (interação nos meninos: depressão F = 11,99, p = 0,002, η² = 0,31; fadiga F = 10,69, p = 0,003). Nos meninos do VEI, a depressão caiu de 6,35 ± 1,00 para 3,28 ± 1,54, contra 6,22 ± 1,42 para 5,42 ± 1,50 no VEC. O vigor subiu mais com VEI nos meninos (8,35 para 10,64; interação p = 0,010) e nas meninas (8,92 para 11,42; p = 0,015). Nas meninas, a confusão (η² = 0,55) e a raiva (η² = 0,34) também caíram mais com VEI (p = 0,001).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6/6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Akroush et al. (2025)</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Jordânia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76; masculino; n.r. (experiência: 59,2% com menos de 10 anos); nacional (liga jordaniana de handebol 2022/2023);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(descritivo); período competitivo (liga 2022/2023). Momento: n.r. (coleta durante a liga 2022/2023, em ginásios da competição)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Lista de padrões de humor para atletas (Allawi, 1998), 30 itens na origem e 20 itens na forma final. Dimensões: força dos processos de excitação, força dos processos de cessação (inibição), flexibilidade pessoal (mobilidade dos processos nervosos)</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posição de jogo; tempo de experiência.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Os três padrões ficaram em nível alto: flexibilidade pessoal M = 2,37 ± 0,45, cessação M = 2,26 ± 0,37 e excitação M = 2,07 ± 0,34 (total M = 2,23 ± 0,29). A ANOVA de dois fatores não mostrou diferença por posição (F = 0,077; p = 0,926) nem por experiência (F = 0,432; p = 0,513).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Sem efeito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2/6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Batalla-Gavalda et al. (2025)</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16; feminino; 21,9 ± 3,2 anos; amador (categoria regional máxima da Catalunha, Liga Catalana Sénior Femenina);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(ordem dos dois testes de campo aleatorizada) com monitoramento de 10 jogos oficiais; pré-temporada (testes de campo) e competição oficial. Momento: antes de cada teste de campo (YYIRT-1 e GBPT) e antes de cada um dos 10 jogos oficiais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POMS-58 (versão espanhola, Balaguer et al., 1993). Dimensões: tensão, depressão, raiva, vigor, fadiga, confusão, PTH</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estresse percebido (PSS); PSE (Borg 6-20); FC máxima e média, zonas de FC; lactato; pressão arterial; balanço hídrico. Intervenção: não se aplica (comparação entre Yo-Yo IR1, Game-Based Performance Test e jogo oficial)</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YYIRT-1 gerou perfil de humor mais negativo que o jogo: depressão 11,63 ± 10,90 contra 7,74 ± 8,47 (d = 0,18), fadiga 9,31 ± 6,23 contra 6,02 ± 4,28 (d = 0,30) e PTH 139,13 ± 29,94 contra 127,12 ± 23,01 (d = 0,22). O GBPT diferiu do jogo só por aumento trivial de vigor (12,56 ± 3,67 contra 10,78 ± 4,52; d = 0,17). Tensão, raiva, confusão e estresse percebido não diferiram.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6/6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Aydi et al. (2025)</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Tunísia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16; masculino; 13,81 ± 0,73 anos; escolar;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aula de educação física (jogo de passes com regras do handebol). Momento: antes e depois de cada jogo de passes, nas duas condições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BRUMS (Brunel Mood Scale, 24 itens); o texto também o chama de POMS. Dimensões: tensão, depressão, raiva, vigor, fadiga, confusão, PTH</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FC média e %FCmáx, PSE (OMNI-RPE), prazer na atividade física (PACES), ações técnicas (passes certos, bolas perdidas, interceptações, gols). Intervenção: Jogo de passes 3 x 3 com dois coringas obesos (10 passes seguidos, regras do handebol, 4 x 3 min, campo de 20 x 10 m), com ou sem encorajamento verbal do professor, em ordem aleatória e contrabalançada, com uma semana de intervalo.</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jogo com encorajamento verbal gerou maior variação de vigor (p = 0,01; ES = -1,51) e menor variação da PTH (p = 0,02; ES = 0,78) que o jogo sem encorajamento. Tensão, raiva, confusão, depressão e fadiga não diferiram entre condições (p &gt; 0,05). Médias e DP aparecem só na Figura 2; os dados individuais estão no arquivo S1.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Diachenko e Tyshchenko (2025)</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Ucrânia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28; feminino; n.r. (adolescentes); formação/juvenil;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quase-experimental; treinamento. Momento: n.r. no resumo (antes e depois do programa, presumível)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questionário SAN (bem-estar, atividade, humor). Dimensões: bem-estar, atividade, humor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ansiedade reativa e traço (teste de Spielberger-Khanin), observação pedagógica. Intervenção: Programa de harmonização do estado psicoemocional associado ao treino: exercícios psicofisiológicos, relaxamento respiratório, visualização, treino cognitivo-comportamental e apoio pedagógico individual; grupo experimental (n = 14) e controle (n = 14).</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grupo experimental teve melhora significativa de bem-estar, atividade e humor (até 38%) e redução da ansiedade reativa e traço (mais de 8 pontos). O grupo controle teve mudanças mínimas e não significativas. O resumo não traz médias, DP nem valores de p.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3/6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Batalla-Gavalda et al. (2026)</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16; feminino; 21,93 ± 3,25 anos; amador (categoria regional máxima da Catalunha);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(ordem dos testes de laboratório aleatorizada) com monitoramento de 10 jogos oficiais; laboratório (pré-temporada) e competição oficial. Momento: n.r. para o POMS (o PSS foi aplicado antes de cada teste e jogo; no Wingate e no cicloergômetro houve uma só medida para os dois testes)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POMS-58 (versão espanhola). Dimensões: tensão, depressão, raiva, vigor, fadiga, confusão, PTH</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estresse percebido (PSS-14); PSE (Borg 6-20 e CR-10); FC e zonas de FC; lactato; pressão arterial; balanço hídrico. Intervenção: não se aplica (comparação entre Wingate, rampa em cicloergômetro, teste em esteira e jogo oficial)</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Wingate e cicloergômetro geraram mais fadiga que o jogo (7,69 ± 3,75 contra 6,02 ± 4,28; d = 0,16; p = 0,046). A esteira associou-se a maior vigor (13,31 ± 4,05 contra 10,78 ± 4,52; d = 0,23; p = 0,003). Tensão, depressão, raiva, confusão, PTH e estresse percebido não diferiram entre condições.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Ratz-Sulyok et al. (2026b)</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Hungria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584; misto; 14 a 35 anos; elite/profissional (seleções nacionais sub-17, sub-19, sub-21 e adulta; programa de talentos sub-15);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laboratório (avaliação na federação húngara, 2024-2025). Momento: avaliação única por entrevista estruturada no dia do exame laboratorial (referência: semana anterior)</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POMS-65. Dimensões: tensão, depressão, raiva, fadiga, confusão, vigor, PTH</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cortisol, testosterona e 17-β-estradiol salivares; estresse percebido (PSS-14); sintomas psicossomáticos (HBSC-SCL); idade.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PTH diminuiu com a idade nos dois sexos (Kruskal-Wallis p &lt; 0,001; η² = 0,033 nos homens e 0,101 nas mulheres); nos adultos, a mediana foi −1 (homens) e −2,5 (mulheres). A PTH não se associou aos hormônios nos modelos ajustados pela idade (todos p &gt; 0,05; ex.: cortisol nos homens F = 1,773, p = 0,175). No modelo multivariado dos homens, houve interação PSS × POMS sobre o perfil hormonal (F = 2,82; p = 0,026; η² parcial = 0,055).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Bugten et al. (2026)</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Noruega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50; feminino; 14,57 ± 1,03 anos (14 a 16); formação/juvenil;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treinamento. Momento: cerca de 15 min antes e logo depois de 11 a 12 sessões de treino consecutivas, em quatro semanas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Feeling Scale (Hardy; Rejeski, 1989), item único de -5 a +5, versão norueguesa adaptada. Dimensões: valência afetiva (prazer e desprazer)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satisfação das necessidades psicológicas básicas (autonomia, competência, relação), prazer esportivo (item do SCQ), PlayerLoad e eventos de alta intensidade (&gt; 1,5 m/s²) por IMU.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prazer antes do treino predisse o prazer depois do treino (β = 0,55; IC95% 0,47 a 0,63). O prazer antes do treino associou-se à carga física (PlayerLoad) no treino (β = 0,14 a 0,17), e a carga associou-se ao prazer depois do treino (β = 0,09; IC95% 0,01 a 0,17). A autonomia antes do treino predisse o prazer depois (β = 0,09), e as necessidades básicas se correlacionaram com o prazer no mesmo momento (r = 0,36 a 0,43 antes do treino). Eventos de alta intensidade não se associaram às variáveis psicológicas.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6/6</w:t>
            </w:r>
          </w:p>
        </w:tc>
      </w:tr>
      <w:tr>
        <w:tc>
          <w:tcPr>
            <w:tcW w:w="1360"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Ratz-Sulyok et al. (2026a)</w:t>
            </w:r>
          </w:p>
        </w:tc>
        <w:tc>
          <w:tcPr>
            <w:tcW w:w="793"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Hungria</w:t>
            </w:r>
          </w:p>
        </w:tc>
        <w:tc>
          <w:tcPr>
            <w:tcW w:w="1587"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n = 584; misto; 14 a 35 anos; elite/profissional (seleções nacionais sub-17, sub-19, sub-21 e adulta; programa de talentos sub-15); quadra</w:t>
            </w:r>
          </w:p>
        </w:tc>
        <w:tc>
          <w:tcPr>
            <w:tcW w:w="1701"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transversal; laboratório (avaliação na federação húngara, 2024-2025). Momento: avaliação única por entrevista estruturada no dia do exame laboratorial (referência: semana anterior)</w:t>
            </w:r>
          </w:p>
        </w:tc>
        <w:tc>
          <w:tcPr>
            <w:tcW w:w="1587"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POMS-65. Dimensões: tensão, depressão, raiva, fadiga, confusão, vigor, PTH</w:t>
            </w:r>
          </w:p>
        </w:tc>
        <w:tc>
          <w:tcPr>
            <w:tcW w:w="1701"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cortisol, testosterona e 17-β-estradiol salivares; estresse percebido (PSS-14); sintomas psicossomáticos (HBSC-SCL); idade. Intervenção: não se aplica</w:t>
            </w:r>
          </w:p>
        </w:tc>
        <w:tc>
          <w:tcPr>
            <w:tcW w:w="3402"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Resumo de congresso da mesma amostra de 584 jogadores húngaros de elite; relata a relação entre o perfil de humor do POMS e os hormônios salivares de estresse e sexuais, sem dados adicionais aos do artigo completo. Fonte: resumo.</w:t>
            </w:r>
          </w:p>
        </w:tc>
        <w:tc>
          <w:tcPr>
            <w:tcW w:w="907" w:type="dxa"/>
            <w:tcBorders>
              <w:top w:val="single" w:sz="4" w:color="000000"/>
              <w:left w:val="single" w:sz="4" w:color="000000"/>
              <w:bottom w:val="single" w:sz="8"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8"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bl>
    <w:p>
      <w:pPr>
        <w:spacing w:before="40" w:after="0" w:line="240" w:lineRule="auto"/>
        <w:ind w:left="0" w:firstLine="0"/>
        <w:jc w:val="both"/>
      </w:pPr>
      <w:r>
        <w:rPr>
          <w:rFonts w:ascii="Times New Roman" w:hAnsi="Times New Roman"/>
          <w:i w:val="0"/>
          <w:sz w:val="20"/>
        </w:rPr>
        <w:t>Nota: n.r.: não relatado; qualidade: sim (+), incerto (?), não (−) nos itens Q1 a Q6 descritos na seção 2.6. A referência completa de cada estudo consta da lista de referências.</w:t>
      </w:r>
    </w:p>
    <w:p>
      <w:pPr>
        <w:spacing w:before="0" w:after="160" w:line="240" w:lineRule="auto"/>
        <w:ind w:left="0" w:firstLine="0"/>
        <w:jc w:val="left"/>
      </w:pPr>
      <w:r>
        <w:rPr>
          <w:rFonts w:ascii="Times New Roman" w:hAnsi="Times New Roman"/>
          <w:i w:val="0"/>
          <w:sz w:val="20"/>
        </w:rPr>
        <w:t>Fonte: elaborada pelos autores (2026).</w:t>
      </w:r>
    </w:p>
    <w:p>
      <w:pPr>
        <w:sectPr>
          <w:pgSz w:w="16838" w:h="11906" w:orient="landscape"/>
          <w:pgMar w:top="1701" w:right="1134" w:bottom="1134" w:left="1701" w:header="1134" w:footer="720" w:gutter="0"/>
          <w:cols w:space="720"/>
          <w:docGrid w:linePitch="360"/>
        </w:sectPr>
      </w:pPr>
    </w:p>
    <w:p>
      <w:pPr>
        <w:spacing w:before="0" w:after="120" w:line="360" w:lineRule="auto"/>
        <w:ind w:left="0" w:firstLine="0"/>
        <w:jc w:val="center"/>
      </w:pPr>
      <w:r>
        <w:rPr>
          <w:rFonts w:ascii="Times New Roman" w:hAnsi="Times New Roman"/>
          <w:b/>
          <w:sz w:val="24"/>
        </w:rPr>
        <w:t>APÊNDICE B – RELATÓRIOS EXCLUÍDOS NO TEXTO COMPLETO OU NÃO RECUPERADOS</w:t>
      </w:r>
    </w:p>
    <w:p>
      <w:pPr>
        <w:keepNext/>
        <w:spacing w:before="120" w:after="60" w:line="240" w:lineRule="auto"/>
        <w:ind w:left="0" w:firstLine="0"/>
        <w:jc w:val="both"/>
      </w:pPr>
      <w:r>
        <w:rPr>
          <w:rFonts w:ascii="Times New Roman" w:hAnsi="Times New Roman"/>
          <w:b/>
          <w:sz w:val="20"/>
        </w:rPr>
        <w:t>Quadro B1</w:t>
      </w:r>
      <w:r>
        <w:rPr>
          <w:rFonts w:ascii="Times New Roman" w:hAnsi="Times New Roman"/>
          <w:i w:val="0"/>
          <w:sz w:val="20"/>
        </w:rPr>
        <w:t xml:space="preserve"> – Relatórios reavaliados no texto completo e excluídos ou não recuperados, com o motivo</w:t>
      </w:r>
    </w:p>
    <w:tbl>
      <w:tblPr>
        <w:jc w:val="center"/>
        <w:tblLayout w:type="fixed"/>
        <w:tblLook w:firstColumn="1" w:firstRow="1" w:lastColumn="0" w:lastRow="0" w:noHBand="0" w:noVBand="1" w:val="04A0"/>
        <w:tblW w:w="14004" w:type="dxa"/>
        <w:tblLayout w:type="fixed"/>
      </w:tblPr>
      <w:tblGrid>
        <w:gridCol w:w="1927"/>
        <w:gridCol w:w="6690"/>
        <w:gridCol w:w="5386"/>
      </w:tblGrid>
      <w:tr>
        <w:trPr>
          <w:tblHeader w:val="true"/>
        </w:trPr>
        <w:tc>
          <w:tcPr>
            <w:tcW w:w="1927" w:type="dxa"/>
            <w:tcBorders>
              <w:top w:val="single" w:sz="8" w:color="000000"/>
              <w:left w:val="single" w:sz="4" w:color="000000"/>
              <w:bottom w:val="single" w:sz="6" w:color="000000"/>
              <w:right w:val="single" w:sz="4" w:color="000000"/>
            </w:tcBorders>
          </w:tcPr>
          <w:p>
            <w:pPr>
              <w:spacing w:lineRule="exact" w:line="190"/>
              <w:jc w:val="center"/>
            </w:pPr>
            <w:r>
              <w:rPr>
                <w:rFonts w:ascii="Times New Roman" w:hAnsi="Times New Roman"/>
                <w:b/>
                <w:sz w:val="16"/>
              </w:rPr>
              <w:t>Registro</w:t>
            </w:r>
          </w:p>
        </w:tc>
        <w:tc>
          <w:tcPr>
            <w:tcW w:w="6690" w:type="dxa"/>
            <w:tcBorders>
              <w:top w:val="single" w:sz="8" w:color="000000"/>
              <w:left w:val="single" w:sz="4" w:color="000000"/>
              <w:bottom w:val="single" w:sz="6" w:color="000000"/>
              <w:right w:val="single" w:sz="4" w:color="000000"/>
            </w:tcBorders>
          </w:tcPr>
          <w:p>
            <w:pPr>
              <w:spacing w:lineRule="exact" w:line="190"/>
              <w:jc w:val="center"/>
            </w:pPr>
            <w:r>
              <w:rPr>
                <w:rFonts w:ascii="Times New Roman" w:hAnsi="Times New Roman"/>
                <w:b/>
                <w:sz w:val="16"/>
              </w:rPr>
              <w:t>Referência recuperada</w:t>
            </w:r>
          </w:p>
        </w:tc>
        <w:tc>
          <w:tcPr>
            <w:tcW w:w="5386" w:type="dxa"/>
            <w:tcBorders>
              <w:top w:val="single" w:sz="8" w:color="000000"/>
              <w:left w:val="single" w:sz="4" w:color="000000"/>
              <w:bottom w:val="single" w:sz="6" w:color="000000"/>
              <w:right w:val="single" w:sz="4" w:color="000000"/>
            </w:tcBorders>
          </w:tcPr>
          <w:p>
            <w:pPr>
              <w:spacing w:lineRule="exact" w:line="190"/>
              <w:jc w:val="center"/>
            </w:pPr>
            <w:r>
              <w:rPr>
                <w:rFonts w:ascii="Times New Roman" w:hAnsi="Times New Roman"/>
                <w:b/>
                <w:sz w:val="16"/>
              </w:rPr>
              <w:t>Motivo da exclusão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Johnson et al. (2001)</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JOHNSON et al. (2001). Referência completa não localizada (título, revista e DOI n.r.).</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Identificado na atualização como resumo de congresso (ISSP, 2001), estudo de caso sem versão aberta; não recuperado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Hemmatinezhad et al. (2012)</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HEMMATINEZHAD, M. A.; RAMAZANINEZHAD, R.; GHEZELSEFLOO, H. et al. Relationship between emotional intelligence and athlete's mood with team-efficiency and performance in elite handball players. International Journal of Sport Studies, v. 2, n. 3, p. 155-162, 201</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Identificado na atualização (International Journal of Sport Studies, 2012), sem resumo nem texto aberto; não recuperado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Hazar (2013)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HAZAR (2013). Referência completa não localizada (título, revista e DOI n.r.).</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Mede apenas a raiva estado-traço (STAS), fora do conceito de humor do protocolo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Laborde e Raab (2013)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LABORDE, S.; RAAB, M. The tale of hearts and reason: the influence of mood on decision making. Journal of Sport and Exercise Psychology, v. 35, n. 4, p. 339-357, 2013. DOI: https://doi.org/10.1123/jsep.35.4.339.</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Humor induzido sem instrumento nomeado; parte da amostra não praticava handebol</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Karcher, Ahmaidi e Buchheit (2014)</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KARCHER, C.; AHMAIDI, S.; BUCHHEIT, M. Body dimensions of elite handball players with respect to laterality, playing positions and playing standard. Journal of Athletic Enhancement, v. 3, n. 4, 2014. DOI: https://doi.org/10.4172/2324-9080.1000160.</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O identificador digital corresponde a estudo sobre estatura e massa corporal, sem medida de humor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Fadilah e Wibowo (2018)</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FADILAH, M.; WIBOWO, R. Kontribusi keterampilan gerak fundamental terhadap keterampilan bermain small-sided handball games. Jurnal Pendidikan Jasmani dan Olahraga, v. 3, n. 1, p. 60, 2018. DOI: https://doi.org/10.17509/jpjo.v3i1.7667.</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O identificador digital corresponde a estudo sobre habilidades motoras de escolares, sem medida de humor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Ivanović (2023)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n.r. (referência completa não localizada)</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Não localizado: sem título, identificador ou periódico verificáveis</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Bugten et al. (2026)</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BUGTEN, J. B. et al. Youth Sport Players’ Enjoyment in Team Practice Sessions: The Daily Impact of Coaches and Basic Psychological Need Satisfaction. Journal of Sport and Exercise Psychology, v. 48, n. 5, p. 315-323, 2026. DOI: https://doi.org/10.1123/jsep.202</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O artigo publicado mede apenas o prazer esportivo; a escala de afeto aparece somente no preprint</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Skarbalius (2026)</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SKARBALIUS, A. Integrated monitoring of training and sport performance throughout an entire handball season: practical applications in semi-professional female players. Frontiers in Sports and Active Living, v. 8, 2026. DOI: https://doi.org/10.3389/fspor.2026.</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Humor medido por item único de questionário de bem-estar, equivalente ao índice de Hooper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Simonelli et al. (2026)</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SIMONELLI, C. et al. Physiological and psychological assessment of high-intensity interval training, full-sided and small-sided games in elite handball players. International Journal of Performance Analysis in Sport, v. 26, n. 5, p. 1115-1126, 2026. DOI: https</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Escala de distresse de treino sem dimensão de humor relatada no material acessível</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Barbry et al. (2021)</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BARBRY, A. et al. Is football or badminton associated with more positive affect? The links between affects and sports club membership among French adolescents. Frontiers in Psychology, v. 12, 735189, 2021. DOI: https://doi.org/10.3389/fpsyg.2021.735189</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afeto medido por 12 adjetivos, sem nome nem validação do instrumento; n do handebol não relatado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Mubarak (2013)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MUBARAK, E. J. Special resistance exercises for deception and accuracy of shooting and their impact on the emotional response of handball players. Modern Sport, v. 12, n. 20, p. 1-38, 2013. DOI: https://doi.org/10.54702/2708-3454.1372</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o resumo descreve jogadoras de voleibol; resposta emocional sem instrumento nomeado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Bauer et al. (2024)</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BAUER, J. et al. Interaction between the leg recovery test and subjective measures of fatigue in handball players: short-, mid-, and long-term assessment. Frontiers in Sports and Active Living, v. 6, 1474385, 2024. DOI: https://doi.org/10.3389/fspor.2024.1474385</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escala curta de recuperação e estresse (KEB), não instrumento de humor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Erden e Emirzeoğlu (2020)</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ERDEN, A.; EMIRZEOĞLU, M. Investigation of body awareness level and performance emotional status of athletes in different branches of sports. Journal of Sport Rehabilitation, v. 29, n. 1, p. 23-27, 2020. DOI: https://doi.org/10.1123/jsr.2018-0334</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escala de estado emocional de desempenho (COPES-2), não instrumento de humor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Suárez Iglesias et al. (2023)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SUÁREZ IGLESIAS, D. et al. The impact of COVID-19 on healthy habits and psychological well-being of Chilean female handball players. E-balonmano.com: Journal of Sports Science, v. 19, n. 1, p. 1-12, 2023. DOI: https://doi.org/10.17398/1885-7019.19.1</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não recuperado (acesso bloqueado); instrumento de bem-estar não identificável</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Bougrine et al. (2023)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BOUGRINE, H. et al. Does Ramadan intermittent fasting affect the intraday variations of cognitive and high-intensity short-term maximal performances in young female handball players? Biological Rhythm Research, v. 54, n. 4, p. 399-418, 2023. DOI: https://doi.org/10.1080/09291016.2023.2198794</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não recuperado (texto sob assinatura e sem resumo); medida de humor não identificável</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Lira et al. (2017)</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 xml:space="preserve">LIRA, H. A. et al. O estado de humor e a insatisfação corporal possuem relação com os comportamentos de risco para transtornos alimentares em atletas de esportes coletivos do sexo masculino? </w:t>
            </w:r>
            <w:r>
              <w:rPr>
                <w:rFonts w:ascii="Times New Roman" w:hAnsi="Times New Roman"/>
                <w:b/>
                <w:sz w:val="16"/>
              </w:rPr>
              <w:t>Revista Brasileira de Ciência e Movimento</w:t>
            </w:r>
            <w:r>
              <w:rPr>
                <w:rFonts w:ascii="Times New Roman" w:hAnsi="Times New Roman"/>
                <w:i w:val="0"/>
                <w:sz w:val="16"/>
              </w:rPr>
              <w:t>, v. 25, n. 3, p. 89, 2017. DOI: https://doi.org/10.31501/rbcm.v25i3.7778</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não é handebol / dados não separáveis: BRUMS aplicada a futebol (36), basquete (18) e handebol (16), com correlações só para a amostra conjunta (resumo e monografia do mesmo estudo, UFPE). O DOI e o link da revista levam a outro artigo; PDF da versão publicada não acessado.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Korobeinikova et al. (2025)</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 xml:space="preserve">KOROBEINIKOVA, L. et al. Gender features of psychophysiological state in handball players. </w:t>
            </w:r>
            <w:r>
              <w:rPr>
                <w:rFonts w:ascii="Times New Roman" w:hAnsi="Times New Roman"/>
                <w:b/>
                <w:sz w:val="16"/>
              </w:rPr>
              <w:t>Health, Sport, Rehabilitation</w:t>
            </w:r>
            <w:r>
              <w:rPr>
                <w:rFonts w:ascii="Times New Roman" w:hAnsi="Times New Roman"/>
                <w:i w:val="0"/>
                <w:sz w:val="16"/>
              </w:rPr>
              <w:t>, v. 11, n. 4, p. 6-16, 2025. DOI: https://doi.org/10.58962/HSR.2025.1276</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não mede humor por instrumento declarado: estado psicoemocional avaliado pelo teste de cores de Lüscher (teste projetivo), não por escala de humor ou afeto.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Ravier et al. (2019)</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 xml:space="preserve">RAVIER, G. et al. Physiological and affective responses of 30s-30s intermittent small-sided game in elite handball players: a new alternative to intermittent running. </w:t>
            </w:r>
            <w:r>
              <w:rPr>
                <w:rFonts w:ascii="Times New Roman" w:hAnsi="Times New Roman"/>
                <w:b/>
                <w:sz w:val="16"/>
              </w:rPr>
              <w:t>Journal of Human Sport and Exercise</w:t>
            </w:r>
            <w:r>
              <w:rPr>
                <w:rFonts w:ascii="Times New Roman" w:hAnsi="Times New Roman"/>
                <w:i w:val="0"/>
                <w:sz w:val="16"/>
              </w:rPr>
              <w:t>, v. 14, n. 3, 2019. DOI: https://doi.org/10.14198/jhse.2019.143.05</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não mede humor por instrumento declarado: prazer avaliado na escala CR-10 de Borg e balanço afetivo calculado como PSE menos prazer; prazer isolado, sem escala de humor ou afeto validada.</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Batista et al. (2019)</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 xml:space="preserve">BATISTA, M. et al. Practice motivation and life satisfaction of athletes of team sports: comparative study between adapted and regular sport. </w:t>
            </w:r>
            <w:r>
              <w:rPr>
                <w:rFonts w:ascii="Times New Roman" w:hAnsi="Times New Roman"/>
                <w:b/>
                <w:sz w:val="16"/>
              </w:rPr>
              <w:t>Journal of Human Sport and Exercise</w:t>
            </w:r>
            <w:r>
              <w:rPr>
                <w:rFonts w:ascii="Times New Roman" w:hAnsi="Times New Roman"/>
                <w:i w:val="0"/>
                <w:sz w:val="16"/>
              </w:rPr>
              <w:t>, v. 14, n. Proc1, 2019. DOI: https://doi.org/10.14198/jhse.2019.14.proc1.03</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não é handebol / dados não separáveis: PANAS em atletas de handebol e basquetebol (adaptado e regular) analisados em conjunto, sem resultados do handebol.</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Kashapov, Ogorodova e Filippovich (2018)</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 xml:space="preserve">KASHAPOV, M.; OGORODOVA, T. V.; FILIPPOVICH, K. N. Types of reaction in conflict and their relation to dominant mental state of athletes. </w:t>
            </w:r>
            <w:r>
              <w:rPr>
                <w:rFonts w:ascii="Times New Roman" w:hAnsi="Times New Roman"/>
                <w:b/>
                <w:sz w:val="16"/>
              </w:rPr>
              <w:t>Vestnik of Saint Petersburg University. Psychology</w:t>
            </w:r>
            <w:r>
              <w:rPr>
                <w:rFonts w:ascii="Times New Roman" w:hAnsi="Times New Roman"/>
                <w:i w:val="0"/>
                <w:sz w:val="16"/>
              </w:rPr>
              <w:t>, v. 8, n. 2, 2018. DOI: https://doi.org/10.21638/11701/spbu16.2018.206</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outro idioma (não inglês, português, espanhol): artigo em russo (metadado dc.language.iso = ru do repositório SPbU); amostra multiesporte e instrumento de estado mental n.r. no resumo. PDF não acessado (repositório fora do ar).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Bursik et al. (2024)</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BURSIK, J. et al. Risk profiles for self-medication with analgesics among elite German handball players. International Review for the Sociology of Sport, 2024. DOI: https://doi.org/10.1177/10126902241280156</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decisão pelo resumo (texto bloqueado): afetividade negativa como traço, sem escala de humor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Klatt et al. (2021)</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KLATT, S. et al. Performance changes and recovery time in U20 and older handball players after a high-intensity sprint exercise. Applied Sciences, 2021. DOI: https://doi.org/10.3390/app11115301</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decisão pelo resumo: mede esforço percebido, dor muscular e estresse, sem escala de humor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Tese no Dialnet (2023)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Factores físicos y psicológicos relacionados con la inestabilidad crónica de tobillo en jugadores de balonmano de categorías inferiores. Tese, 2023. Registro no Dialnet</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decisão pelo resumo: ansiedade, personalidade, depressão e cinesiofobia, sem escala de humor</w:t>
            </w:r>
          </w:p>
        </w:tc>
      </w:tr>
      <w:tr>
        <w:tc>
          <w:tcPr>
            <w:tcW w:w="1927" w:type="dxa"/>
            <w:tcBorders>
              <w:top w:val="single" w:sz="4" w:color="000000"/>
              <w:left w:val="single" w:sz="4" w:color="000000"/>
              <w:bottom w:val="single" w:sz="8" w:color="000000"/>
              <w:right w:val="single" w:sz="4" w:color="000000"/>
            </w:tcBorders>
          </w:tcPr>
          <w:p>
            <w:pPr>
              <w:spacing w:lineRule="exact" w:line="190" w:before="20" w:after="20"/>
              <w:jc w:val="left"/>
            </w:pPr>
            <w:r>
              <w:rPr>
                <w:rFonts w:ascii="Times New Roman" w:hAnsi="Times New Roman"/>
                <w:i w:val="0"/>
                <w:sz w:val="16"/>
              </w:rPr>
              <w:t>Abbas, Zeghair e Hasan (2021)</w:t>
            </w:r>
          </w:p>
        </w:tc>
        <w:tc>
          <w:tcPr>
            <w:tcW w:w="6690" w:type="dxa"/>
            <w:tcBorders>
              <w:top w:val="single" w:sz="4" w:color="000000"/>
              <w:left w:val="single" w:sz="4" w:color="000000"/>
              <w:bottom w:val="single" w:sz="8" w:color="000000"/>
              <w:right w:val="single" w:sz="4" w:color="000000"/>
            </w:tcBorders>
          </w:tcPr>
          <w:p>
            <w:pPr>
              <w:spacing w:lineRule="exact" w:line="190" w:before="20" w:after="20"/>
              <w:jc w:val="left"/>
            </w:pPr>
            <w:r>
              <w:rPr>
                <w:rFonts w:ascii="Times New Roman" w:hAnsi="Times New Roman"/>
                <w:i w:val="0"/>
                <w:sz w:val="16"/>
              </w:rPr>
              <w:t>ABBAS, K. H.; ZEGHAIR, H. O.; HASAN, O. N. Analytical study on the effectiveness of psychological health among handball players of the premium class. 2021</w:t>
            </w:r>
          </w:p>
        </w:tc>
        <w:tc>
          <w:tcPr>
            <w:tcW w:w="5386" w:type="dxa"/>
            <w:tcBorders>
              <w:top w:val="single" w:sz="4" w:color="000000"/>
              <w:left w:val="single" w:sz="4" w:color="000000"/>
              <w:bottom w:val="single" w:sz="8" w:color="000000"/>
              <w:right w:val="single" w:sz="4" w:color="000000"/>
            </w:tcBorders>
          </w:tcPr>
          <w:p>
            <w:pPr>
              <w:spacing w:lineRule="exact" w:line="190" w:before="20" w:after="20"/>
              <w:jc w:val="left"/>
            </w:pPr>
            <w:r>
              <w:rPr>
                <w:rFonts w:ascii="Times New Roman" w:hAnsi="Times New Roman"/>
                <w:i w:val="0"/>
                <w:sz w:val="16"/>
              </w:rPr>
              <w:t>Atualização: não recuperado; sem resumo, DOI ou texto localizado e sem indicação de instrumento de humor</w:t>
            </w:r>
          </w:p>
        </w:tc>
      </w:tr>
    </w:tbl>
    <w:p>
      <w:pPr>
        <w:spacing w:before="40" w:after="160" w:line="240" w:lineRule="auto"/>
        <w:ind w:left="0" w:firstLine="0"/>
        <w:jc w:val="left"/>
      </w:pPr>
      <w:r>
        <w:rPr>
          <w:rFonts w:ascii="Times New Roman" w:hAnsi="Times New Roman"/>
          <w:i w:val="0"/>
          <w:sz w:val="20"/>
        </w:rPr>
        <w:t>Fonte: elaborada pelos autores (2026).</w:t>
      </w:r>
    </w:p>
    <w:sectPr w:rsidR="00FC693F" w:rsidRPr="0006063C" w:rsidSect="00034616">
      <w:pgSz w:w="16838" w:h="11906" w:orient="landscape"/>
      <w:pgMar w:top="1701" w:right="1134" w:bottom="1134" w:left="1701" w:header="113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sz w:val="20"/>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