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As variáveis psicológicas associam-se ao desempenho e à saúde do atleta e manifestam-se, no handebol, sob a oposição direta do adversário, tanto no treinamento quanto na competição. O objetivo foi analisar o estado da arte das evidências científicas sobre as variáveis psicológicas investigadas no treinamento e na competição do handebol, com ênfase nos estudos de intervenção, por meio de uma revisão de mapeamento. A busca foi realizada em oito bases de dados, sem restrição de data, entre maio e setembro de 2026, e a seleção obedeceu à estratégia PECOS. Dos 4.144 registros identificados, 199 estudos, publicados entre 1994 e 2026, atenderam aos critérios de inclusão. A produção concentrou-se na Espanha (49 estudos) e no Brasil (21), em atletas de alto rendimento (43,7%) e de categorias de formação (25,1%), com mediana de 63,5 participantes por estudo. Motivação e autoeficácia (80 estudos) e ansiedade e estresse (72) foram os domínios mais investigados, ao passo que burnout e saúde mental reuniram 14 estudos. Desde 2010, a produção duplicou a cada 4,4 anos, e o domínio de sono, bem-estar e recuperação superou o de motivação e autoeficácia. Apenas 28 estudos adotaram delineamento experimental, e 24 testaram intervenções;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Rice et al., 2016), com diferenças entre homens e mulheres (Kew et al., 2025), e as sociedades científicas da área recomendam a promoção da saúde mental, a detecção precoce e a oferta de serviços especializados aos atletas (Moesch et al., 2018; Purcell et al., 2019; Schinke et al., 2018). A evidência que fundamenta as recomendações do Comitê Olímpico Internacional foi recentemente sistematizada (Gouttebarge et al., 2026), e os fatores psicossociais predizem também a ocorrência de lesões esportivas (Ivarsson et al., 2017).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(Karcher &amp; Buchheit, 2014; Michalsik et al., 2012; Póvoas et al., 2012). As ações de alta intensidade repetem-se ao longo das partidas internacionais (Luteberget &amp; Spencer, 2017), e a carga varia conforme as fases da partida, a posição e o sistema defensivo e foi examinada segundo o resultado (Fleureau et al., 2023; Guignard et al., 2022; Saal et al., 2023, 2026; Wagner et al., 2025), inclusive no handebol de praia (Sánchez-Sáez et al., 2021b). As respostas hormonais à partida e ao treino foram comparadas para verificar se o treino reproduz o estresse do jogo (Nikolovski et al., 2023b), e o desempenho feminino depende da combinação de fatores físicos, técnicos e táticos (Manchado et al., 2013).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velocidade da mudança de direção foi comparada entre ações planejadas e reativas (Fasold et al., 2023), e a análise situacional constitui elemento central do desempenho de elite (Nicolosi et al., 2023). A atenção, a antecipação (Biscaia et al., 2021), o rastreamento visual de múltiplos alvos (Styrkowiec et al., 2024) e as representações mentais das ações táticas (Vogel &amp; Schack, 2023) variam com o nível, a idade e a expertise. No tiro de sete metros, o goleiro antecipa o arremesso a partir de pistas cinemáticas (Cocić et al., 2021; Huesmann et al., 2023; Loffing &amp; Hagemann, 2014), com padrões de olhar que diferem entre homens e mulheres de elite (Jedziniak et al., 2025), decisões de natureza intuitiva (Menn et al., 2019) e acúmulo de evidência modulado pelo contexto da cobrança (Weinberg et al., 2025). O sono favorece o treino dessa antecipação (Schorer et al., 2021), ao passo que a fadiga mental induzida pelo uso de redes sociais retardou o tempo de reação visual de handebolistas (Kim et al., 2026).</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de saúde. Em handebolistas, o estresse percebido acompanha a carga de treino e o cortisol (Drole et al., 2025a); a fadiga, a dor e o estresse aumentam ao longo de competições de vários dias (Lara-Cobos et al., 2024); o bem-estar no dia do jogo foi relacionado ao desempenho na partida (Henze et al., 2026); a quantidade e a qualidade do sono de jogadores de nível mundial foram monitoradas ao longo de meia temporada (Font et al., 2025); e as cargas psicossociais e de dupla carreira figuram entre os fatores de risco para lesões e doenças (Drole et al., 2025b). O comportamento do treinador e da equipe associa-se à ansiedade competitiva (Wang et al., 2024), a satisfação das necessidades psicológicas básicas, ao prazer nos treinos (Bugten et al., 2026b), o clima motivacional, ao bem-estar psicológico de adolescentes (Greblo Jurakić et al., 2026), e o medo do fracasso, ao burnout de jovens jogadores (González-Hernández et al., 2021). A ansiedade de nova lesão (Seyedahmadi et al., 2025) e as restrições da pandemia de COVID-19 (Mon-López et al., 2020; Suárez Iglesias et al., 2023) ampliaram esse quadro. No plano aplicado, programas de mindfulness (Martiny et al., 2024; Staiano et al., 2026), de imagética (Norouzi et al., 2025; Upadhyay et al., 2025) e de hipnose adaptada à equipe (Yüksel et al., 2025) relataram efeitos sobre a tomada de decisão, o controle inibitório, a precisão do arremesso e a ansiedade pré-competitiva.</w:t>
      </w:r>
    </w:p>
    <w:p>
      <w:pPr>
        <w:spacing w:before="0" w:after="0" w:lineRule="exact" w:line="217"/>
        <w:ind w:left="2381" w:firstLine="425"/>
        <w:jc w:val="both"/>
      </w:pPr>
      <w:r>
        <w:rPr>
          <w:rFonts w:ascii="Palatino Linotype" w:hAnsi="Palatino Linotype"/>
          <w:i w:val="0"/>
          <w:sz w:val="20"/>
        </w:rPr>
        <w:t>Fora do handebol, as intervenções psicológicas acumulam evidência metanalítica. O autodiálogo (Hatzigeorgiadis et al., 2011), a imagética e a prática mental (Simonsmeier et al., 2021; Toth et al., 2020) e o mindfulness (Bühlmayer et al., 2017; Si et al., 2024) melhoraram o desempenho esportivo; as intervenções baseadas na teoria da autodeterminação aumentaram a motivação autônoma (Ntoumanis et al., 2021); a construção de equipe favoreceu os processos de grupo (Martin et al., 2009); e os programas de conscientização sobre saúde mental foram testados em atletas e treinadores (Breslin et al., 2022). O monitoramento por medidas autorrelatadas mostrou-se mais sensível à carga que muitos marcadores objetivos (Saw et al., 2016), e os consensos sobre recuperação e sono do atleta orientam a prática (Kellmann et al., 2018; Walsh et al., 2021).</w:t>
      </w:r>
    </w:p>
    <w:p>
      <w:pPr>
        <w:spacing w:before="0" w:after="0" w:lineRule="exact" w:line="217"/>
        <w:ind w:left="2381" w:firstLine="425"/>
        <w:jc w:val="both"/>
      </w:pPr>
      <w:r>
        <w:rPr>
          <w:rFonts w:ascii="Palatino Linotype" w:hAnsi="Palatino Linotype"/>
          <w:i w:val="0"/>
          <w:sz w:val="20"/>
        </w:rPr>
        <w:t>Apesar desse acúmulo, o conhecimento sobre o handebol permanece fragmentado. A produção científica sobre a modalidade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com relato conforme os itens aplicáveis do PRISMA-ScR (Tricco et al., 2018). Três filtros, para reunir (procedimento de busca), selecionar (critérios de inclusão e de exclusão) e extrair (extração dos dados) as informações relevantes da literatura, foram aplicados nesta revisão de mapeamento (McDaniel Peters &amp; Wood, 2017), conforme revisões de mapeamento anteriores do grupo (Andrade et al., 2023; Dominski et al., 2021; Truppel et al., 2025).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triagem de títulos e resumos foi realizada em duas passagens independentes, assistidas por modelo de linguagem, e as divergências foram resolvidas por uma terceira avaliação (concordância de 0,955; κ = 0,927) (Cohen, 1960; Landis &amp; Koch, 1977); esse coeficiente expressa a consistência do procedimento, e não a concordância entre avaliadores humanos (McHugh, 2012). Os textos completos dos artigos que atenderam aos critérios de inclusão e de exclusão predeterminados (Tabela 2) foram revisados.</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e instrumentos; protocolos das intervenções; e resultados. Todos os resultados foram extraídos para planilhas eletrônicas, provieram do texto completo em 146 estudos, do resumo em 49 e da planilha de extração em 4, e cada um foi vinculado a um trecho literal da fonte.</w:t>
      </w:r>
    </w:p>
    <w:p>
      <w:pPr>
        <w:spacing w:before="0" w:after="0" w:lineRule="exact" w:line="217"/>
        <w:ind w:left="2381" w:firstLine="425"/>
        <w:jc w:val="both"/>
      </w:pPr>
      <w:r>
        <w:rPr>
          <w:rFonts w:ascii="Palatino Linotype" w:hAnsi="Palatino Linotype"/>
          <w:i w:val="0"/>
          <w:sz w:val="20"/>
        </w:rPr>
        <w:t>As variáveis investigadas foram categorizadas em sete domínios conceituais: (1) motivação e autoeficácia (motivação, clima motivacional, orientação de metas, motivação autônoma/intrínseca, autoeficácia, necessidades psicológicas básicas, medo do fracasso, competência percebida, abandono e intenção de persistir, apoio à autonomia); (2) ansiedade e estresse (ansiedade, estresse, autoconfiança, pressão e choking, regulação emocional); (3) sono, bem-estar e recuperação (recuperação percebida, sono, bem-estar, satisfação e qualidade de vida); (4) habilidades mentais e enfrentamento (habilidades psicológicas, atenção e concentração, enfrentamento (coping), resiliência e robustez mental, mindfulness e flow, imagética, fadiga mental, tomada de decisão, funções executivas e cognição, autodiálogo); (5) humor e afeto (estados de humor, afeto e emoções, diversão e prazer); (6) processos de grupo e sociais (relação treinador-atleta, coesão, agressividade e fair play, liderança); (7) burnout e saúde mental (burnout, aspectos psicológicos da lesão, saúde mental e sintomas). Considerando os resultados relatados, os estudos foram categorizados em cinco grupos: efeito ou associação relatado; resultado misto, quando houve efeito ou associação em parte dos desfechos; sem efeito ou associação; descritivo, sem teste estatístico; e não determinável, quando a fonte acessível não permitiu classificar o achado. Os estudos de intervenção foram descritos ainda por seis indicadores de relato e de delineamento: randomização, grupo ou condição de comparação, amostra de pelo menos 30 participantes, medida de desfecho psicológico, duração informada e tamanho do efeito relatado.</w:t>
      </w:r>
    </w:p>
    <w:p>
      <w:pPr>
        <w:spacing w:before="0" w:after="0" w:lineRule="exact" w:line="217"/>
        <w:ind w:left="2381" w:firstLine="425"/>
        <w:jc w:val="both"/>
      </w:pPr>
      <w:r>
        <w:rPr>
          <w:rFonts w:ascii="Palatino Linotype" w:hAnsi="Palatino Linotype"/>
          <w:i w:val="0"/>
          <w:sz w:val="20"/>
        </w:rPr>
        <w:t>Os dados foram analisados por estatística descritiva (frequências absolutas e relativas, mediana e amplitude) e apresentados em figuras e tabelas. O tamanho amostral foi comparado entre categorias pelo teste de Kruskal-Wallis; a combinação das variáveis nos estudos foi descrita pela coocorrência dos domínios e pelo mapa temático (Blondel et al., 2008; Callon et al., 1991); e a trajetória temporal da produção foi descrita por média móvel centrada, com intervalos de confiança de 95% (Garwood, 1936; Wilson, 1927).</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2020 da busca na literatura e do processo de seleção dos estudos.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w:t>
      </w:r>
    </w:p>
    <w:p>
      <w:pPr>
        <w:spacing w:before="0" w:after="0" w:lineRule="exact" w:line="217"/>
        <w:ind w:left="2381" w:firstLine="425"/>
        <w:jc w:val="both"/>
      </w:pPr>
      <w:r>
        <w:rPr>
          <w:rFonts w:ascii="Palatino Linotype" w:hAnsi="Palatino Linotype"/>
          <w:i w:val="0"/>
          <w:sz w:val="20"/>
        </w:rPr>
        <w:t>Quanto ao sexo, 54 estudos investigaram amostras mistas, 49 somente mulheres e 39 somente homens, e 57 não relataram essa informação (Figura 2B). Predominaram as faixas adulta (90 estudos) e juvenil (89) e os níveis profissional ou de elite (87; 43,7%) e de formação (50; 25,1%) (Figura 2C, 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Características dos estudos e das populações (QP1).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mediana foi de 63,5 participantes por estudo, com as maiores amostras nos estudos transversais (mediana de 112) e as menores nos experimentais (mediana de 26,5) (Figura 3).</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e de Portugal (10); 51 países somaram 221 menções, e 23 estudos (11,6%) envolveram mais de um país (Figura 4).</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A Figura 9 apresenta, em barras tridimensionais, o número de estudos de cada domínio conceitual segundo o contexto da medida. A competição concentrou os estudos de ansiedade e estresse (33) e de motivação e autoeficácia (29), e a medida em ambos os contextos predominou em sono, bem-estar e recuperação (21) e em humor e afeto (18).</w:t>
      </w:r>
    </w:p>
    <w:p>
      <w:pPr>
        <w:keepNext/>
        <w:spacing w:before="120" w:after="40" w:lineRule="auto" w:line="240"/>
        <w:ind w:left="0" w:firstLine="0"/>
        <w:jc w:val="center"/>
      </w:pPr>
      <w:r>
        <w:drawing>
          <wp:inline xmlns:a="http://schemas.openxmlformats.org/drawingml/2006/main" xmlns:pic="http://schemas.openxmlformats.org/drawingml/2006/picture">
            <wp:extent cx="5040000" cy="3528000"/>
            <wp:docPr id="9" name="Picture 9"/>
            <wp:cNvGraphicFramePr>
              <a:graphicFrameLocks noChangeAspect="1"/>
            </wp:cNvGraphicFramePr>
            <a:graphic>
              <a:graphicData uri="http://schemas.openxmlformats.org/drawingml/2006/picture">
                <pic:pic>
                  <pic:nvPicPr>
                    <pic:cNvPr id="0" name="ijerph_contexto_3d.png"/>
                    <pic:cNvPicPr/>
                  </pic:nvPicPr>
                  <pic:blipFill>
                    <a:blip r:embed="rId18"/>
                    <a:stretch>
                      <a:fillRect/>
                    </a:stretch>
                  </pic:blipFill>
                  <pic:spPr>
                    <a:xfrm>
                      <a:off x="0" y="0"/>
                      <a:ext cx="5040000" cy="352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Número de estudos de cada domínio conceitual segundo o contexto da medida (QP3). Barras tridimensionais; um estudo pode investigar mais de um domínio.</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10).</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10" name="Picture 10"/>
            <wp:cNvGraphicFramePr>
              <a:graphicFrameLocks noChangeAspect="1"/>
            </wp:cNvGraphicFramePr>
            <a:graphic>
              <a:graphicData uri="http://schemas.openxmlformats.org/drawingml/2006/picture">
                <pic:pic>
                  <pic:nvPicPr>
                    <pic:cNvPr id="0" name="Figura_IC_tendencias.png"/>
                    <pic:cNvPicPr/>
                  </pic:nvPicPr>
                  <pic:blipFill>
                    <a:blip r:embed="rId19"/>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11A).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1" name="Picture 11"/>
            <wp:cNvGraphicFramePr>
              <a:graphicFrameLocks noChangeAspect="1"/>
            </wp:cNvGraphicFramePr>
            <a:graphic>
              <a:graphicData uri="http://schemas.openxmlformats.org/drawingml/2006/picture">
                <pic:pic>
                  <pic:nvPicPr>
                    <pic:cNvPr id="0" name="Figura6_QP4_QP5.png"/>
                    <pic:cNvPicPr/>
                  </pic:nvPicPr>
                  <pic:blipFill>
                    <a:blip r:embed="rId20"/>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12 situa as intervenções no tempo, segundo o tipo, o tamanho da amostra e a direção do achado: 21 das 24 foram publicadas a partir de 2018, e o treino de habilidades psicológicas reuniu 7 das 10 intervenções publicadas desde 2024.</w:t>
      </w:r>
    </w:p>
    <w:p>
      <w:pPr>
        <w:keepNext/>
        <w:spacing w:before="120" w:after="40" w:lineRule="auto" w:line="240"/>
        <w:ind w:left="0" w:firstLine="0"/>
        <w:jc w:val="center"/>
      </w:pPr>
      <w:r>
        <w:drawing>
          <wp:inline xmlns:a="http://schemas.openxmlformats.org/drawingml/2006/main" xmlns:pic="http://schemas.openxmlformats.org/drawingml/2006/picture">
            <wp:extent cx="5400000" cy="2668235"/>
            <wp:docPr id="12" name="Picture 12"/>
            <wp:cNvGraphicFramePr>
              <a:graphicFrameLocks noChangeAspect="1"/>
            </wp:cNvGraphicFramePr>
            <a:graphic>
              <a:graphicData uri="http://schemas.openxmlformats.org/drawingml/2006/picture">
                <pic:pic>
                  <pic:nvPicPr>
                    <pic:cNvPr id="0" name="ijerph_linha_tempo_intervencoes.png"/>
                    <pic:cNvPicPr/>
                  </pic:nvPicPr>
                  <pic:blipFill>
                    <a:blip r:embed="rId21"/>
                    <a:stretch>
                      <a:fillRect/>
                    </a:stretch>
                  </pic:blipFill>
                  <pic:spPr>
                    <a:xfrm>
                      <a:off x="0" y="0"/>
                      <a:ext cx="5400000" cy="266823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Estudos de intervenção segundo o ano de publicação, o tipo de intervenção, o tamanho da amostra e a direção do achado. Círculos: estudos, com área proporcional ao número de participantes (indicado no círculo; n.r.: não relatado); cor: direção do achado; anel escuro: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13).</w:t>
      </w:r>
    </w:p>
    <w:p>
      <w:pPr>
        <w:keepNext/>
        <w:spacing w:before="120" w:after="40" w:lineRule="auto" w:line="240"/>
        <w:ind w:left="2381" w:firstLine="0"/>
        <w:jc w:val="center"/>
      </w:pPr>
      <w:r>
        <w:drawing>
          <wp:inline xmlns:a="http://schemas.openxmlformats.org/drawingml/2006/main" xmlns:pic="http://schemas.openxmlformats.org/drawingml/2006/picture">
            <wp:extent cx="4896000" cy="5211792"/>
            <wp:docPr id="13" name="Picture 13"/>
            <wp:cNvGraphicFramePr>
              <a:graphicFrameLocks noChangeAspect="1"/>
            </wp:cNvGraphicFramePr>
            <a:graphic>
              <a:graphicData uri="http://schemas.openxmlformats.org/drawingml/2006/picture">
                <pic:pic>
                  <pic:nvPicPr>
                    <pic:cNvPr id="0" name="ijerph_indicadores_intervencoes.png"/>
                    <pic:cNvPicPr/>
                  </pic:nvPicPr>
                  <pic:blipFill>
                    <a:blip r:embed="rId22"/>
                    <a:stretch>
                      <a:fillRect/>
                    </a:stretch>
                  </pic:blipFill>
                  <pic:spPr>
                    <a:xfrm>
                      <a:off x="0" y="0"/>
                      <a:ext cx="4896000" cy="5211792"/>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Indicadores de relato e de delineamento dos estudos de intervenção. Estudos em ordem cronológica decrescente; sim (+), não (−) e não informado (?); à direita, número de indicadores atendidos.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(Figuras 14 e 15).</w:t>
      </w:r>
    </w:p>
    <w:p>
      <w:pPr>
        <w:keepNext/>
        <w:spacing w:before="120" w:after="40" w:lineRule="auto" w:line="240"/>
        <w:ind w:left="0" w:firstLine="0"/>
        <w:jc w:val="center"/>
      </w:pPr>
      <w:r>
        <w:drawing>
          <wp:inline xmlns:a="http://schemas.openxmlformats.org/drawingml/2006/main" xmlns:pic="http://schemas.openxmlformats.org/drawingml/2006/picture">
            <wp:extent cx="5220000" cy="2349000"/>
            <wp:docPr id="14" name="Picture 14"/>
            <wp:cNvGraphicFramePr>
              <a:graphicFrameLocks noChangeAspect="1"/>
            </wp:cNvGraphicFramePr>
            <a:graphic>
              <a:graphicData uri="http://schemas.openxmlformats.org/drawingml/2006/picture">
                <pic:pic>
                  <pic:nvPicPr>
                    <pic:cNvPr id="0" name="ijerph_direcao_pizza3d.png"/>
                    <pic:cNvPicPr/>
                  </pic:nvPicPr>
                  <pic:blipFill>
                    <a:blip r:embed="rId23"/>
                    <a:stretch>
                      <a:fillRect/>
                    </a:stretch>
                  </pic:blipFill>
                  <pic:spPr>
                    <a:xfrm>
                      <a:off x="0" y="0"/>
                      <a:ext cx="5220000" cy="2349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14.</w:t>
      </w:r>
      <w:r>
        <w:rPr>
          <w:rFonts w:ascii="Palatino Linotype" w:hAnsi="Palatino Linotype"/>
          <w:i w:val="0"/>
          <w:sz w:val="18"/>
        </w:rPr>
        <w:t xml:space="preserve"> Direção dos achados nos 199 estudos e nas intervenções. (A) os 199 estudos; (B) os estudos de intervenção; efeito parcial (misto): efeito em parte dos desfechos.</w:t>
      </w:r>
    </w:p>
    <w:p>
      <w:pPr>
        <w:keepNext/>
        <w:spacing w:before="120" w:after="40" w:lineRule="auto" w:line="240"/>
        <w:ind w:left="0" w:firstLine="0"/>
        <w:jc w:val="center"/>
      </w:pPr>
      <w:r>
        <w:drawing>
          <wp:inline xmlns:a="http://schemas.openxmlformats.org/drawingml/2006/main" xmlns:pic="http://schemas.openxmlformats.org/drawingml/2006/picture">
            <wp:extent cx="5400000" cy="2565000"/>
            <wp:docPr id="15" name="Picture 15"/>
            <wp:cNvGraphicFramePr>
              <a:graphicFrameLocks noChangeAspect="1"/>
            </wp:cNvGraphicFramePr>
            <a:graphic>
              <a:graphicData uri="http://schemas.openxmlformats.org/drawingml/2006/picture">
                <pic:pic>
                  <pic:nvPicPr>
                    <pic:cNvPr id="0" name="ijerph_dominio_direcao.png"/>
                    <pic:cNvPicPr/>
                  </pic:nvPicPr>
                  <pic:blipFill>
                    <a:blip r:embed="rId24"/>
                    <a:stretch>
                      <a:fillRect/>
                    </a:stretch>
                  </pic:blipFill>
                  <pic:spPr>
                    <a:xfrm>
                      <a:off x="0" y="0"/>
                      <a:ext cx="5400000" cy="2565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15.</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11B), e burnout e saúde mental não tiveram nenhuma intervenção (Figura 11C).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Características dos Estudos, Populações Investigadas e Distribuição Geográfica das Pesquisas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keepNext/>
        <w:spacing w:before="120" w:after="40" w:lineRule="exact" w:line="217"/>
        <w:ind w:left="2381" w:firstLine="0"/>
        <w:jc w:val="left"/>
      </w:pPr>
      <w:r>
        <w:rPr>
          <w:rFonts w:ascii="Palatino Linotype" w:hAnsi="Palatino Linotype"/>
          <w:i/>
          <w:sz w:val="20"/>
        </w:rPr>
        <w:t>4.2. Variáveis Psicológicas, Domínios Conceituais e Contextos de Treinamento e de Competição</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keepNext/>
        <w:spacing w:before="120" w:after="40" w:lineRule="exact" w:line="217"/>
        <w:ind w:left="2381" w:firstLine="0"/>
        <w:jc w:val="left"/>
      </w:pPr>
      <w:r>
        <w:rPr>
          <w:rFonts w:ascii="Palatino Linotype" w:hAnsi="Palatino Linotype"/>
          <w:i/>
          <w:sz w:val="20"/>
        </w:rPr>
        <w:t>4.3. Delineamentos e Protocolos das Intervenções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keepNext/>
        <w:spacing w:before="120" w:after="40" w:lineRule="exact" w:line="217"/>
        <w:ind w:left="2381" w:firstLine="0"/>
        <w:jc w:val="left"/>
      </w:pPr>
      <w:r>
        <w:rPr>
          <w:rFonts w:ascii="Palatino Linotype" w:hAnsi="Palatino Linotype"/>
          <w:i/>
          <w:sz w:val="20"/>
        </w:rPr>
        <w:t>4.4. Resultados das Intervenções e Lacunas</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2023a).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A triagem e a extração foram assistidas por modelo de linguagem, e a conferência humana por amostragem não foi concluída, de modo que os resultados devem ser considerados provisórios. A pré-classificação por regras deixou 1.613 registros fora da triagem, os desfechos provieram do texto completo em 146 estudos e, por se tratar de revisão de mapeamento, não se avaliou a qualidade metodológica nem se estimou o tamanho dos efeitos (Khalil et al., 2025). Entre os pontos fortes, destacam-se a busca em oito bases sem restrição de data, a análise temporal triangulada e a rastreabilidade de cada resultado até o trecho literal da fonte (Apêndice A). A Tabela 6 converte as lacunas em agenda; recomendam-se o relato conforme o CONSORT (Schulz et al., 2010) e a descrição da intervenção conforme o TIDieR (Hoffmann et al., 2014).</w:t>
      </w: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spacing w:before="0" w:after="0" w:lineRule="exact" w:line="217"/>
        <w:ind w:left="2381" w:firstLine="425"/>
        <w:jc w:val="both"/>
      </w:pPr>
      <w:r>
        <w:rPr>
          <w:rFonts w:ascii="Palatino Linotype" w:hAnsi="Palatino Linotype"/>
          <w:i w:val="0"/>
          <w:sz w:val="20"/>
        </w:rPr>
        <w:t>Embora 199 estudos tenham sido publicados desde 1994, com concentração nos últimos anos, é necessário um esforço dos pesquisadores para produzir conhecimento experimental sobre as variáveis psicológicas no handebol, pois, apesar do número relevante de estudos, as intervenções são poucas, curtas e de amostras pequenas, o que limita conclusões específicas. A maioria dos estudos também não relatou o sexo, o contexto da medida, o instrumento ou a dose da intervenção, informações que condicionam a interpretação dos resultados. O foco de estudos futuros deve ser testar intervenções em diferentes contextos de treinamento e de competição, níveis competitivos e categorias, com ensaios randomizados por equipes (Campbell et al., 2012), delineamentos de caso único (Barker et al., 2013), medida dos mediadores psicológicos (Hagger &amp; Hamilton, 2025) e seguimento prolongado.</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Até onde se tem conhecimento, após extensa busca em bases internacionais, a presente revisão de mapeamento é a primeira desenvolvida sobre as variáveis psicológicas no treinamento e na competição do handebol. Além desse caráter inovador, a revisão combinou a análise de redes de coocorrência, a análise temporal triangulada e a rastreabilidade de cada resultado até o trecho literal da fonte, o que distingue sinal e ruído na trajetória da produção e permite verificar cada afirmação (Apêndice A).</w:t>
      </w:r>
    </w:p>
    <w:p>
      <w:pPr>
        <w:spacing w:before="0" w:after="0" w:lineRule="exact" w:line="217"/>
        <w:ind w:left="2381" w:firstLine="425"/>
        <w:jc w:val="both"/>
      </w:pPr>
      <w:r>
        <w:rPr>
          <w:rFonts w:ascii="Palatino Linotype" w:hAnsi="Palatino Linotype"/>
          <w:i w:val="0"/>
          <w:sz w:val="20"/>
        </w:rPr>
        <w:t>Os resultados, as análises e as conclusões permitem diversas aplicações práticas.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que melhorou indicadores ofensivos em jogos reduzidos (Sahli et al., 2023), e o monitoramento do sono e do bem-estar em relação à carga, às viagens e ao calendário (Font et al., 2025; García-Sánchez et al., 2025). Para atletas, recomendam-se rotinas pré-desempenho com autodiálogo e imagética (Hatzigeorgiadis et al., 2011) e o desligamento psicológico fora do treino (Ji et al., 2026).</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7.</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(Campbell et al., 2012).</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(Martiny et al., 2024; Staiano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(Barker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(Bugten et al., 2026b).</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(Abt et al., 2020; Button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(Greblo Jurakić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(Breslin et al., 2022).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(García-Herrero et al., 2022; Paul Meeûs et al., 2010; Soto et al., 2020).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(Hagger &amp; Hamilton, 2025).</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(Sahli et al., 2023).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(Schulz et al., 2010) e descrição da intervenção conforme o TIDieR (Hoffmann et al., 2014),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(Font et al., 2025; García-Sánchez et al., 2025).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(Flake &amp; Fried, 2020).</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(Hatzigeorgiadis et al., 2011).</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(Reifsteck et al., 2021).</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(Ji et al., 2026).</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(Nicolosi et al., 2023; Vogel &amp; Schack,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 extração dos dados dos 199 estudos incluídos consta do Apêndice A. As strings de busca, base a base, e o protocolo podem ser disponibilizados pelos autores.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do Comitê de Ética:</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Termo de Consentimento Livre e Esclarecido: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Abreviaturas</w:t>
      </w:r>
    </w:p>
    <w:p>
      <w:pPr>
        <w:tabs>
          <w:tab w:pos="3685" w:val="left"/>
        </w:tabs>
        <w:spacing w:before="0" w:after="0" w:lineRule="exact" w:line="220"/>
        <w:ind w:left="2381" w:firstLine="0"/>
        <w:jc w:val="left"/>
      </w:pPr>
      <w:r>
        <w:rPr>
          <w:rFonts w:ascii="Palatino Linotype" w:hAnsi="Palatino Linotype"/>
          <w:i w:val="0"/>
          <w:sz w:val="18"/>
        </w:rPr>
        <w:t>ABQ</w:t>
        <w:tab/>
        <w:t>Athlete Burnout Questionnaire</w:t>
      </w:r>
    </w:p>
    <w:p>
      <w:pPr>
        <w:tabs>
          <w:tab w:pos="3685" w:val="left"/>
        </w:tabs>
        <w:spacing w:before="0" w:after="0" w:lineRule="exact" w:line="220"/>
        <w:ind w:left="2381" w:firstLine="0"/>
        <w:jc w:val="left"/>
      </w:pPr>
      <w:r>
        <w:rPr>
          <w:rFonts w:ascii="Palatino Linotype" w:hAnsi="Palatino Linotype"/>
          <w:i w:val="0"/>
          <w:sz w:val="18"/>
        </w:rPr>
        <w:t>CONSORT</w:t>
        <w:tab/>
        <w:t>Consolidated Standards of Reporting Trials</w:t>
      </w:r>
    </w:p>
    <w:p>
      <w:pPr>
        <w:tabs>
          <w:tab w:pos="3685" w:val="left"/>
        </w:tabs>
        <w:spacing w:before="0" w:after="0" w:lineRule="exact" w:line="220"/>
        <w:ind w:left="2381" w:firstLine="0"/>
        <w:jc w:val="left"/>
      </w:pPr>
      <w:r>
        <w:rPr>
          <w:rFonts w:ascii="Palatino Linotype" w:hAnsi="Palatino Linotype"/>
          <w:i w:val="0"/>
          <w:sz w:val="18"/>
        </w:rPr>
        <w:t>CSAI-2</w:t>
        <w:tab/>
        <w:t>Competitive State Anxiety Inventory-2</w:t>
      </w:r>
    </w:p>
    <w:p>
      <w:pPr>
        <w:tabs>
          <w:tab w:pos="3685" w:val="left"/>
        </w:tabs>
        <w:spacing w:before="0" w:after="0" w:lineRule="exact" w:line="220"/>
        <w:ind w:left="2381" w:firstLine="0"/>
        <w:jc w:val="left"/>
      </w:pPr>
      <w:r>
        <w:rPr>
          <w:rFonts w:ascii="Palatino Linotype" w:hAnsi="Palatino Linotype"/>
          <w:i w:val="0"/>
          <w:sz w:val="18"/>
        </w:rPr>
        <w:t>ECR</w:t>
        <w:tab/>
        <w:t>ensaio clínico randomizado</w:t>
      </w:r>
    </w:p>
    <w:p>
      <w:pPr>
        <w:tabs>
          <w:tab w:pos="3685" w:val="left"/>
        </w:tabs>
        <w:spacing w:before="0" w:after="0" w:lineRule="exact" w:line="220"/>
        <w:ind w:left="2381" w:firstLine="0"/>
        <w:jc w:val="left"/>
      </w:pPr>
      <w:r>
        <w:rPr>
          <w:rFonts w:ascii="Palatino Linotype" w:hAnsi="Palatino Linotype"/>
          <w:i w:val="0"/>
          <w:sz w:val="18"/>
        </w:rPr>
        <w:t>GRADE</w:t>
        <w:tab/>
        <w:t>Grading of Recommendations Assessment, Development and Evaluation</w:t>
      </w:r>
    </w:p>
    <w:p>
      <w:pPr>
        <w:tabs>
          <w:tab w:pos="3685" w:val="left"/>
        </w:tabs>
        <w:spacing w:before="0" w:after="0" w:lineRule="exact" w:line="220"/>
        <w:ind w:left="2381" w:firstLine="0"/>
        <w:jc w:val="left"/>
      </w:pPr>
      <w:r>
        <w:rPr>
          <w:rFonts w:ascii="Palatino Linotype" w:hAnsi="Palatino Linotype"/>
          <w:i w:val="0"/>
          <w:sz w:val="18"/>
        </w:rPr>
        <w:t>PECOS</w:t>
        <w:tab/>
        <w:t>participantes, exposição, comparação, desfecho e delineamento</w:t>
      </w:r>
    </w:p>
    <w:p>
      <w:pPr>
        <w:tabs>
          <w:tab w:pos="3685" w:val="left"/>
        </w:tabs>
        <w:spacing w:before="0" w:after="0" w:lineRule="exact" w:line="220"/>
        <w:ind w:left="2381" w:firstLine="0"/>
        <w:jc w:val="left"/>
      </w:pPr>
      <w:r>
        <w:rPr>
          <w:rFonts w:ascii="Palatino Linotype" w:hAnsi="Palatino Linotype"/>
          <w:i w:val="0"/>
          <w:sz w:val="18"/>
        </w:rPr>
        <w:t>POMS</w:t>
        <w:tab/>
        <w:t>Profile of Mood States</w:t>
      </w:r>
    </w:p>
    <w:p>
      <w:pPr>
        <w:tabs>
          <w:tab w:pos="3685" w:val="left"/>
        </w:tabs>
        <w:spacing w:before="0" w:after="0" w:lineRule="exact" w:line="220"/>
        <w:ind w:left="2381" w:firstLine="0"/>
        <w:jc w:val="left"/>
      </w:pPr>
      <w:r>
        <w:rPr>
          <w:rFonts w:ascii="Palatino Linotype" w:hAnsi="Palatino Linotype"/>
          <w:i w:val="0"/>
          <w:sz w:val="18"/>
        </w:rPr>
        <w:t>PRISMA-ScR</w:t>
        <w:tab/>
        <w:t>Preferred Reporting Items for Systematic Reviews and Meta-Analyses extension for Scoping Reviews</w:t>
      </w:r>
    </w:p>
    <w:p>
      <w:pPr>
        <w:tabs>
          <w:tab w:pos="3685" w:val="left"/>
        </w:tabs>
        <w:spacing w:before="0" w:after="0" w:lineRule="exact" w:line="220"/>
        <w:ind w:left="2381" w:firstLine="0"/>
        <w:jc w:val="left"/>
      </w:pPr>
      <w:r>
        <w:rPr>
          <w:rFonts w:ascii="Palatino Linotype" w:hAnsi="Palatino Linotype"/>
          <w:i w:val="0"/>
          <w:sz w:val="18"/>
        </w:rPr>
        <w:t>QE</w:t>
        <w:tab/>
        <w:t>quase-experimental</w:t>
      </w:r>
    </w:p>
    <w:p>
      <w:pPr>
        <w:tabs>
          <w:tab w:pos="3685" w:val="left"/>
        </w:tabs>
        <w:spacing w:before="0" w:after="0" w:lineRule="exact" w:line="220"/>
        <w:ind w:left="2381" w:firstLine="0"/>
        <w:jc w:val="left"/>
      </w:pPr>
      <w:r>
        <w:rPr>
          <w:rFonts w:ascii="Palatino Linotype" w:hAnsi="Palatino Linotype"/>
          <w:i w:val="0"/>
          <w:sz w:val="18"/>
        </w:rPr>
        <w:t>QP</w:t>
        <w:tab/>
        <w:t>questão de pesquisa</w:t>
      </w:r>
    </w:p>
    <w:p>
      <w:pPr>
        <w:tabs>
          <w:tab w:pos="3685" w:val="left"/>
        </w:tabs>
        <w:spacing w:before="0" w:after="0" w:lineRule="exact" w:line="220"/>
        <w:ind w:left="2381" w:firstLine="0"/>
        <w:jc w:val="left"/>
      </w:pPr>
      <w:r>
        <w:rPr>
          <w:rFonts w:ascii="Palatino Linotype" w:hAnsi="Palatino Linotype"/>
          <w:i w:val="0"/>
          <w:sz w:val="18"/>
        </w:rPr>
        <w:t>TIDieR</w:t>
        <w:tab/>
        <w:t>Template for Intervention Description and Replication</w:t>
      </w:r>
    </w:p>
    <w:p>
      <w:pPr>
        <w:tabs>
          <w:tab w:pos="3685" w:val="left"/>
        </w:tabs>
        <w:spacing w:before="0" w:after="0" w:lineRule="exact" w:line="220"/>
        <w:ind w:left="2381" w:firstLine="0"/>
        <w:jc w:val="left"/>
      </w:pPr>
      <w:r>
        <w:rPr>
          <w:rFonts w:ascii="Palatino Linotype" w:hAnsi="Palatino Linotype"/>
          <w:i w:val="0"/>
          <w:sz w:val="18"/>
        </w:rPr>
        <w:t>n.r.</w:t>
        <w:tab/>
        <w:t>não relatado</w:t>
      </w:r>
    </w:p>
    <w:p>
      <w:pPr>
        <w:tabs>
          <w:tab w:pos="3685" w:val="left"/>
        </w:tabs>
        <w:spacing w:before="0" w:after="0" w:lineRule="exact" w:line="220"/>
        <w:ind w:left="2381" w:firstLine="0"/>
        <w:jc w:val="left"/>
      </w:pPr>
      <w:r>
        <w:rPr>
          <w:rFonts w:ascii="Palatino Linotype" w:hAnsi="Palatino Linotype"/>
          <w:i w:val="0"/>
          <w:sz w:val="18"/>
        </w:rPr>
        <w:t>s.i.</w:t>
        <w:tab/>
        <w:t>sem informação</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Andrade, A., D’Oliveira, A., De Souza, L. C., Bastos, A. C. R. d. F., Dominski, F. H., Stabile, L., &amp; Buonanno, G. (2023). Effects of Air Pollution on the Health of Older Adults during Physical Activities: Mapping Review.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3506. https://doi.org/10.3390/ijerph20043506</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Blondel, V. D., Guillaume, J. L., Lambiotte, R., &amp; Lefebvre, E. (2008). Fast unfolding of communities in large networks. </w:t>
      </w:r>
      <w:r>
        <w:rPr>
          <w:rFonts w:ascii="Palatino Linotype" w:hAnsi="Palatino Linotype"/>
          <w:i/>
          <w:sz w:val="18"/>
        </w:rPr>
        <w:t>Journal of Statistical Mechanics: Theory and Experiment</w:t>
      </w:r>
      <w:r>
        <w:rPr>
          <w:rFonts w:ascii="Palatino Linotype" w:hAnsi="Palatino Linotype"/>
          <w:i w:val="0"/>
          <w:sz w:val="18"/>
        </w:rPr>
        <w:t xml:space="preserve">, </w:t>
      </w:r>
      <w:r>
        <w:rPr>
          <w:rFonts w:ascii="Palatino Linotype" w:hAnsi="Palatino Linotype"/>
          <w:i/>
          <w:sz w:val="18"/>
        </w:rPr>
        <w:t>2008</w:t>
      </w:r>
      <w:r>
        <w:rPr>
          <w:rFonts w:ascii="Palatino Linotype" w:hAnsi="Palatino Linotype"/>
          <w:i w:val="0"/>
          <w:sz w:val="18"/>
        </w:rPr>
        <w:t>(10), P10008. https://doi.org/10.1088/1742-5468/2008/10/p10008</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Bühlmayer, L., Birrer, D., Röthlin, P., Faude, O., &amp; Donath, L. (2017). Effects of Mindfulness Practice on Performance-Relevant Parameters and Performance Outcomes in Sports: A Meta-Analytical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(11), 2309–2321. https://doi.org/10.1007/s40279-017-0752-9</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Callon, M., Courtial, J. P., &amp; Laville, F. (1991). Co-word analysis as a tool for describing the network of interactions between basic and technological research: The case of polymer chemsitry. </w:t>
      </w:r>
      <w:r>
        <w:rPr>
          <w:rFonts w:ascii="Palatino Linotype" w:hAnsi="Palatino Linotype"/>
          <w:i/>
          <w:sz w:val="18"/>
        </w:rPr>
        <w:t>Scientometrics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 155–205. https://doi.org/10.1007/bf02019280</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Dominski, F. H., Lorenzetti Branco, J. H., Buonanno, G., Stabile, L., Gameiro da Silva, M., &amp; Andrade, A. (2021). Effects of air pollution on health: A mapping review of systematic reviews and meta-analyses. </w:t>
      </w:r>
      <w:r>
        <w:rPr>
          <w:rFonts w:ascii="Palatino Linotype" w:hAnsi="Palatino Linotype"/>
          <w:i/>
          <w:sz w:val="18"/>
        </w:rPr>
        <w:t>Environmental Research</w:t>
      </w:r>
      <w:r>
        <w:rPr>
          <w:rFonts w:ascii="Palatino Linotype" w:hAnsi="Palatino Linotype"/>
          <w:i w:val="0"/>
          <w:sz w:val="18"/>
        </w:rPr>
        <w:t xml:space="preserve">, </w:t>
      </w:r>
      <w:r>
        <w:rPr>
          <w:rFonts w:ascii="Palatino Linotype" w:hAnsi="Palatino Linotype"/>
          <w:i/>
          <w:sz w:val="18"/>
        </w:rPr>
        <w:t>201</w:t>
      </w:r>
      <w:r>
        <w:rPr>
          <w:rFonts w:ascii="Palatino Linotype" w:hAnsi="Palatino Linotype"/>
          <w:i w:val="0"/>
          <w:sz w:val="18"/>
        </w:rPr>
        <w:t>, 111487. https://doi.org/10.1016/j.envres.2021.111487</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Fasold, F., Braun, A., &amp; Klatt, S. (2023). Effects of Arm Dominance and Decision Demands on Change of Direction Performance in Handball Players.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85</w:t>
      </w:r>
      <w:r>
        <w:rPr>
          <w:rFonts w:ascii="Palatino Linotype" w:hAnsi="Palatino Linotype"/>
          <w:i w:val="0"/>
          <w:sz w:val="18"/>
        </w:rPr>
        <w:t>(1), 127–135. https://doi.org/10.2478/hukin-2022-0116</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Garwood, F. (1936). (i) Fiducial Limits for the Poisson Distribution. </w:t>
      </w:r>
      <w:r>
        <w:rPr>
          <w:rFonts w:ascii="Palatino Linotype" w:hAnsi="Palatino Linotype"/>
          <w:i/>
          <w:sz w:val="18"/>
        </w:rPr>
        <w:t>Biometrika</w:t>
      </w:r>
      <w:r>
        <w:rPr>
          <w:rFonts w:ascii="Palatino Linotype" w:hAnsi="Palatino Linotype"/>
          <w:i w:val="0"/>
          <w:sz w:val="18"/>
        </w:rPr>
        <w:t xml:space="preserve">, </w:t>
      </w:r>
      <w:r>
        <w:rPr>
          <w:rFonts w:ascii="Palatino Linotype" w:hAnsi="Palatino Linotype"/>
          <w:i/>
          <w:sz w:val="18"/>
        </w:rPr>
        <w:t>28</w:t>
      </w:r>
      <w:r>
        <w:rPr>
          <w:rFonts w:ascii="Palatino Linotype" w:hAnsi="Palatino Linotype"/>
          <w:i w:val="0"/>
          <w:sz w:val="18"/>
        </w:rPr>
        <w:t>(3-4), 437–442. https://doi.org/10.1093/biomet/28.3-4.437</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Ivarsson, A., Johnson, U., Andersen, M. B., Tranaeus, U., Stenling, A., &amp; Lindwall, M. (2017). Psychosocial Factors and Sport Injuries: Meta-analyses for Prediction and Prevention.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(2), 353–365. https://doi.org/10.1007/s40279-016-0578-x</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Karcher, C., &amp; Buchheit, M. (2014). On-Court Demands of Elite Handball, with Special Reference to Playing Positions.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44</w:t>
      </w:r>
      <w:r>
        <w:rPr>
          <w:rFonts w:ascii="Palatino Linotype" w:hAnsi="Palatino Linotype"/>
          <w:i w:val="0"/>
          <w:sz w:val="18"/>
        </w:rPr>
        <w:t>(6), 797–814. https://doi.org/10.1007/s40279-014-0164-z</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Kew, M. E., Dave, U., Marmor, W., Olsen, R., Jivanelli, B., Tsai, S. H. L., Kuo, L. T., &amp; Ling, D. I. (2025). Sex Differences in Mental Health Symptoms in Elite Athletes: A Systematic Review and Meta-analysis. </w:t>
      </w:r>
      <w:r>
        <w:rPr>
          <w:rFonts w:ascii="Palatino Linotype" w:hAnsi="Palatino Linotype"/>
          <w:i/>
          <w:sz w:val="18"/>
        </w:rPr>
        <w:t>Sports Health: A Multidisciplinary Approach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(4), 732–743. https://doi.org/10.1177/19417381241264491</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Luteberget, L. S., &amp; Spencer, M. (2017). High-Intensity Events in International Women’s Team Handball Matches.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56–61. https://doi.org/10.1123/ijspp.2015-0641</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Manchado, C., Tortosa-Martínez, J., Vila, H., Ferragut, C., &amp; Platen, P. (2013). Performance Factors in Women's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27</w:t>
      </w:r>
      <w:r>
        <w:rPr>
          <w:rFonts w:ascii="Palatino Linotype" w:hAnsi="Palatino Linotype"/>
          <w:i w:val="0"/>
          <w:sz w:val="18"/>
        </w:rPr>
        <w:t>(6), 1708–1719. https://doi.org/10.1519/jsc.0b013e3182891535</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McHugh, M. L. (2012). Interrater reliability: the kappa statistic. </w:t>
      </w:r>
      <w:r>
        <w:rPr>
          <w:rFonts w:ascii="Palatino Linotype" w:hAnsi="Palatino Linotype"/>
          <w:i/>
          <w:sz w:val="18"/>
        </w:rPr>
        <w:t>Biochemia Medica</w:t>
      </w:r>
      <w:r>
        <w:rPr>
          <w:rFonts w:ascii="Palatino Linotype" w:hAnsi="Palatino Linotype"/>
          <w:i w:val="0"/>
          <w:sz w:val="18"/>
        </w:rPr>
        <w:t>, 276–282. https://doi.org/10.11613/bm.2012.031</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Nikolovski, Z., Foretić, N., Vrdoljak, D., Marić, D., &amp; Perić, M. (2023b). Comparison between Match and Training Session on Biomarker Responses in Handball Players.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83. https://doi.org/10.3390/sports11040083</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(2023a).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Purcell, R., Gwyther, K., &amp; Rice, S. M. (2019). Mental Health In Elite Athletes: Increased Awareness Requires An Early Intervention Framework to Respond to Athlete Needs. </w:t>
      </w:r>
      <w:r>
        <w:rPr>
          <w:rFonts w:ascii="Palatino Linotype" w:hAnsi="Palatino Linotype"/>
          <w:i/>
          <w:sz w:val="18"/>
        </w:rPr>
        <w:t>Sports Medicine -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46. https://doi.org/10.1186/s40798-019-0220-1</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Rice, S. M., Purcell, R., De Silva, S., Mawren, D., McGorry, P. D., &amp; Parker, A. G. (2016). The Mental Health of Elite Athletes: A Narrative Systematic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46</w:t>
      </w:r>
      <w:r>
        <w:rPr>
          <w:rFonts w:ascii="Palatino Linotype" w:hAnsi="Palatino Linotype"/>
          <w:i w:val="0"/>
          <w:sz w:val="18"/>
        </w:rPr>
        <w:t>(9), 1333–1353. https://doi.org/10.1007/s40279-016-0492-2</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Baumgart, C., Wegener, F., Ackermann, N., Sölter, F., &amp; Hoppe, M. W. (2023). Physical match demands of four LIQUI-MOLY Handball-Bundesliga teams from 2019–2022: effects of season, team, match outcome, playing position, and halftime.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1183881. https://doi.org/10.3389/fspor.2023.1183881</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Toth, A. J., McNeill, E., Hayes, K., Moran, A. P., &amp; Campbell, M. (2020). Does mental practice still enhance performance? A 24 Year follow-up and meta-analytic replication and extension.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101672. https://doi.org/10.1016/j.psychsport.2020.101672</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Tricco, A. C., Lillie, E., Zarin, W., O'Brien, K. K., Colquhoun, H., Levac, D., Moher, D., Peters, M. D., Horsley, T., Weeks, L., Hempel, S., Akl, E. A., Chang, C., McGowan, J., Stewart, L., Hartling, L., Aldcroft, A., Wilson, M. G., Garritty, C., ... Straus, S. E. (2018). PRISMA Extension for Scoping Reviews (PRISMA-ScR): Checklist and Explanation. </w:t>
      </w:r>
      <w:r>
        <w:rPr>
          <w:rFonts w:ascii="Palatino Linotype" w:hAnsi="Palatino Linotype"/>
          <w:i/>
          <w:sz w:val="18"/>
        </w:rPr>
        <w:t>Annals of Internal Medicine</w:t>
      </w:r>
      <w:r>
        <w:rPr>
          <w:rFonts w:ascii="Palatino Linotype" w:hAnsi="Palatino Linotype"/>
          <w:i w:val="0"/>
          <w:sz w:val="18"/>
        </w:rPr>
        <w:t xml:space="preserve">, </w:t>
      </w:r>
      <w:r>
        <w:rPr>
          <w:rFonts w:ascii="Palatino Linotype" w:hAnsi="Palatino Linotype"/>
          <w:i/>
          <w:sz w:val="18"/>
        </w:rPr>
        <w:t>169</w:t>
      </w:r>
      <w:r>
        <w:rPr>
          <w:rFonts w:ascii="Palatino Linotype" w:hAnsi="Palatino Linotype"/>
          <w:i w:val="0"/>
          <w:sz w:val="18"/>
        </w:rPr>
        <w:t>(7), 467–473. https://doi.org/10.7326/m18-0850</w:t>
      </w:r>
    </w:p>
    <w:p>
      <w:pPr>
        <w:spacing w:before="0" w:after="40" w:lineRule="exact" w:line="210"/>
        <w:ind w:left="340" w:hanging="340"/>
        <w:jc w:val="both"/>
      </w:pPr>
      <w:r>
        <w:rPr>
          <w:rFonts w:ascii="Palatino Linotype" w:hAnsi="Palatino Linotype"/>
          <w:i w:val="0"/>
          <w:sz w:val="18"/>
        </w:rPr>
        <w:t xml:space="preserve">Truppel, R., D’Oliveira, A., Canale, L., Stabile, L., Buonanno, G., &amp; Andrade, A. (2025). Do Environmental Education Programs Reduce Pollution and Improve Air Quality? Impacts on Knowledge and Behavior Based on Evidence from a Mapping Review. </w:t>
      </w:r>
      <w:r>
        <w:rPr>
          <w:rFonts w:ascii="Palatino Linotype" w:hAnsi="Palatino Linotype"/>
          <w:i/>
          <w:sz w:val="18"/>
        </w:rPr>
        <w:t>Atmosphere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(11), 1229. https://doi.org/10.3390/atmos16111229</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Wilson, E. B. (1927). Probable Inference, the Law of Succession, and Statistical Inference. </w:t>
      </w:r>
      <w:r>
        <w:rPr>
          <w:rFonts w:ascii="Palatino Linotype" w:hAnsi="Palatino Linotype"/>
          <w:i/>
          <w:sz w:val="18"/>
        </w:rPr>
        <w:t>Journal of the American Statistical Association</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(158), 209–212. https://doi.org/10.1080/01621459.1927.10502953</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