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MATERIAL SUPLEMENTAR</w:t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Perfil de humor de atletas de handebol na última semana da pré-temporada competitiva: sinal, ruído e sensibilidade dos marcadores</w:t>
      </w:r>
    </w:p>
    <w:p>
      <w:pPr>
        <w:spacing w:line="33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Este material reúne as análises complementares referidas no manuscrito principal, mantendo o mesmo conjunto de dados (27 atletas, 456 observações, coletas pré/pós). Atletas anonimizados (A01–A27).</w:t>
      </w:r>
    </w:p>
    <w:p>
      <w:pPr>
        <w:spacing w:before="200" w:after="60"/>
      </w:pPr>
      <w:r>
        <w:rPr>
          <w:rFonts w:ascii="Times New Roman" w:hAnsi="Times New Roman"/>
          <w:b/>
          <w:i w:val="0"/>
          <w:sz w:val="24"/>
        </w:rPr>
        <w:t>S1. Estatística descritiva completa e distribuições</w:t>
      </w:r>
    </w:p>
    <w:p>
      <w:pPr>
        <w:spacing w:before="80" w:line="240" w:lineRule="auto"/>
        <w:jc w:val="left"/>
      </w:pPr>
      <w:r>
        <w:rPr>
          <w:rFonts w:ascii="Times New Roman" w:hAnsi="Times New Roman"/>
          <w:b w:val="0"/>
          <w:i w:val="0"/>
          <w:sz w:val="19"/>
        </w:rPr>
        <w:t>Tabela S1 – Estatística descritiva completa do humor e da fadiga na semana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Variável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M ± DP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Mediana [IIQ]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Mín.–Máx.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Ampl.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Assim.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% piso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Tensão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1,42 ± 1,82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1,0 [2,0]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0–8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+1,44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47%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Depressão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1,07 ± 2,45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0,0 [1,0]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0–16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+3,54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66%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Raiva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1,67 ± 2,89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0,0 [2,0]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0–15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+2,06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61%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Vigor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5,70 ± 3,32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6,0 [5,0]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0–15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+0,16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9%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Fadiga (BRUMS)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5,41 ± 4,04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4,0 [6,0]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0–16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+0,64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10%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Confusão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0,52 ± 1,27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0,0 [0,0]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0–8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+3,25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78%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PTH/TMD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4,39 ± 10,07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2,0 [11,0]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-12–52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64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+1,45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0%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Fadiga física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5,88 ± 2,46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6,0 [4,0]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0–10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-0,26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1%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Fadiga mental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4,62 ± 2,85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5,0 [5,0]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0–10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+0,16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7%</w:t>
            </w:r>
          </w:p>
        </w:tc>
      </w:tr>
    </w:tbl>
    <w:p>
      <w:pPr>
        <w:spacing w:after="120" w:line="240" w:lineRule="auto"/>
      </w:pPr>
      <w:r>
        <w:rPr>
          <w:rFonts w:ascii="Times New Roman" w:hAnsi="Times New Roman"/>
          <w:b w:val="0"/>
          <w:i w:val="0"/>
          <w:sz w:val="18"/>
        </w:rPr>
        <w:t>Fonte: dados da pesquisa (2026).</w:t>
      </w:r>
    </w:p>
    <w:p>
      <w:pPr>
        <w:spacing w:before="80" w:line="240" w:lineRule="auto"/>
        <w:jc w:val="center"/>
      </w:pPr>
      <w:r>
        <w:rPr>
          <w:rFonts w:ascii="Times New Roman" w:hAnsi="Times New Roman"/>
          <w:b w:val="0"/>
          <w:i w:val="0"/>
          <w:sz w:val="19"/>
        </w:rPr>
        <w:t>Figura S1 – Histogramas de distribuição das cinco variáveis centrais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12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2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spacing w:before="80" w:line="240" w:lineRule="auto"/>
        <w:jc w:val="center"/>
      </w:pPr>
      <w:r>
        <w:rPr>
          <w:rFonts w:ascii="Times New Roman" w:hAnsi="Times New Roman"/>
          <w:b w:val="0"/>
          <w:i w:val="0"/>
          <w:sz w:val="19"/>
        </w:rPr>
        <w:t>Figura S2 – Diagramas de caixa por dia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12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_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2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spacing w:before="200" w:after="60"/>
      </w:pPr>
      <w:r>
        <w:rPr>
          <w:rFonts w:ascii="Times New Roman" w:hAnsi="Times New Roman"/>
          <w:b/>
          <w:i w:val="0"/>
          <w:sz w:val="24"/>
        </w:rPr>
        <w:t>S2. Tendência semanal (regressão linear)</w:t>
      </w:r>
    </w:p>
    <w:p>
      <w:pPr>
        <w:spacing w:before="80" w:line="240" w:lineRule="auto"/>
        <w:jc w:val="left"/>
      </w:pPr>
      <w:r>
        <w:rPr>
          <w:rFonts w:ascii="Times New Roman" w:hAnsi="Times New Roman"/>
          <w:b w:val="0"/>
          <w:i w:val="0"/>
          <w:sz w:val="19"/>
        </w:rPr>
        <w:t>Tabela S2 – Regressão linear ao longo da semana (coef./dia, R², 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Variável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Coef./dia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R²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Vigor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-0,270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0,026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0,0052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Fadiga (BRUMS)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+0,409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0,040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&lt;0,001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Fadiga física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+0,388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0,097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&lt;0,001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Fadiga mental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+0,043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0,6038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PTH/TMD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+0,574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0,013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0,0511</w:t>
            </w:r>
          </w:p>
        </w:tc>
      </w:tr>
    </w:tbl>
    <w:p>
      <w:pPr>
        <w:spacing w:after="120" w:line="240" w:lineRule="auto"/>
      </w:pPr>
      <w:r>
        <w:rPr>
          <w:rFonts w:ascii="Times New Roman" w:hAnsi="Times New Roman"/>
          <w:b w:val="0"/>
          <w:i w:val="0"/>
          <w:sz w:val="18"/>
        </w:rPr>
        <w:t>Fonte: dados da pesquisa (2026).</w:t>
      </w:r>
    </w:p>
    <w:p>
      <w:pPr>
        <w:spacing w:before="80" w:line="240" w:lineRule="auto"/>
        <w:jc w:val="center"/>
      </w:pPr>
      <w:r>
        <w:rPr>
          <w:rFonts w:ascii="Times New Roman" w:hAnsi="Times New Roman"/>
          <w:b w:val="0"/>
          <w:i w:val="0"/>
          <w:sz w:val="19"/>
        </w:rPr>
        <w:t>Figura S3 – Regressão linear de cada variável ao longo da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121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_r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2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spacing w:before="200" w:after="60"/>
      </w:pPr>
      <w:r>
        <w:rPr>
          <w:rFonts w:ascii="Times New Roman" w:hAnsi="Times New Roman"/>
          <w:b/>
          <w:i w:val="0"/>
          <w:sz w:val="24"/>
        </w:rPr>
        <w:t>S3. Comportamento da Perturbação Total do Humor (PTH/TMD)</w:t>
      </w:r>
    </w:p>
    <w:p>
      <w:pPr>
        <w:spacing w:before="80" w:line="240" w:lineRule="auto"/>
        <w:jc w:val="center"/>
      </w:pPr>
      <w:r>
        <w:rPr>
          <w:rFonts w:ascii="Times New Roman" w:hAnsi="Times New Roman"/>
          <w:b w:val="0"/>
          <w:i w:val="0"/>
          <w:sz w:val="19"/>
        </w:rPr>
        <w:t>Figura S4 – Trajetória, resposta pré/pós por dia e distribuição da PTH/TMD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121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_tm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2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spacing w:before="200" w:after="60"/>
      </w:pPr>
      <w:r>
        <w:rPr>
          <w:rFonts w:ascii="Times New Roman" w:hAnsi="Times New Roman"/>
          <w:b/>
          <w:i w:val="0"/>
          <w:sz w:val="24"/>
        </w:rPr>
        <w:t>S4. Limites, derivadas e ponto de inflexão</w:t>
      </w:r>
    </w:p>
    <w:p>
      <w:pPr>
        <w:spacing w:before="80" w:line="240" w:lineRule="auto"/>
        <w:jc w:val="left"/>
      </w:pPr>
      <w:r>
        <w:rPr>
          <w:rFonts w:ascii="Times New Roman" w:hAnsi="Times New Roman"/>
          <w:b w:val="0"/>
          <w:i w:val="0"/>
          <w:sz w:val="19"/>
        </w:rPr>
        <w:t>Tabela S3 – Limites, amplitude do sinal, fração da escala, dose acumulada e ponto de inflexão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Variável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Mín.–Máx.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Ampl. sinal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% escala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Dose (AUC)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Inflexão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Vigor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0–15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3,33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17%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33,7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dia 4,1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Fadiga (BRUMS)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0–16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3,39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17%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32,5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dia 3,7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Fadiga física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0–10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3,30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33%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35,5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dia 4,1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Fadiga mental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0–10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0,76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8%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27,3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n/d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PTH/TMD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-12–52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6,23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10%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25,4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dia 3,5</w:t>
            </w:r>
          </w:p>
        </w:tc>
      </w:tr>
    </w:tbl>
    <w:p>
      <w:pPr>
        <w:spacing w:after="120" w:line="240" w:lineRule="auto"/>
      </w:pPr>
      <w:r>
        <w:rPr>
          <w:rFonts w:ascii="Times New Roman" w:hAnsi="Times New Roman"/>
          <w:b w:val="0"/>
          <w:i w:val="0"/>
          <w:sz w:val="18"/>
        </w:rPr>
        <w:t>Fonte: dados da pesquisa (2026).</w:t>
      </w:r>
    </w:p>
    <w:p>
      <w:pPr>
        <w:spacing w:before="80" w:line="240" w:lineRule="auto"/>
        <w:jc w:val="center"/>
      </w:pPr>
      <w:r>
        <w:rPr>
          <w:rFonts w:ascii="Times New Roman" w:hAnsi="Times New Roman"/>
          <w:b w:val="0"/>
          <w:i w:val="0"/>
          <w:sz w:val="19"/>
        </w:rPr>
        <w:t>Figura S5 – Velocidade e aceleração por dia, para cada variável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deriv_ex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spacing w:before="200" w:after="60"/>
      </w:pPr>
      <w:r>
        <w:rPr>
          <w:rFonts w:ascii="Times New Roman" w:hAnsi="Times New Roman"/>
          <w:b/>
          <w:i w:val="0"/>
          <w:sz w:val="24"/>
        </w:rPr>
        <w:t>S5. Decomposição de generalizabilidade, mudança confiável e dimensionalidade</w:t>
      </w:r>
    </w:p>
    <w:p>
      <w:pPr>
        <w:spacing w:before="80" w:line="240" w:lineRule="auto"/>
        <w:jc w:val="left"/>
      </w:pPr>
      <w:r>
        <w:rPr>
          <w:rFonts w:ascii="Times New Roman" w:hAnsi="Times New Roman"/>
          <w:b w:val="0"/>
          <w:i w:val="0"/>
          <w:sz w:val="19"/>
        </w:rPr>
        <w:t>Tabela S4 – Facetas (traço/estado/ruído), fidedignidade (ICC, Φ), heterogeneidade do declínio (DP das inclinações), autocorrelação e mudança confiável (RCI)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Variável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%Traço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%Estado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%Ruído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ICC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Φ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DP incl.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ACF(1)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%RCI</w:t>
            </w:r>
          </w:p>
        </w:tc>
      </w:tr>
      <w:tr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Vigor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51%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9%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40%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0,51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0,92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0,40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+0,01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14%</w:t>
            </w:r>
          </w:p>
        </w:tc>
      </w:tr>
      <w:tr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Fadiga BRUMS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54%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5%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41%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0,54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0,94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0,46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-0,08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19%</w:t>
            </w:r>
          </w:p>
        </w:tc>
      </w:tr>
      <w:tr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Fadiga física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33%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6%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60%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0,33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0,86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0,09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-0,27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10%</w:t>
            </w:r>
          </w:p>
        </w:tc>
      </w:tr>
      <w:tr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Fadiga mental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67%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3%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30%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0,67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0,96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0,11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-0,02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0%</w:t>
            </w:r>
          </w:p>
        </w:tc>
      </w:tr>
      <w:tr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PTH/TMD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55%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9%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36%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0,55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0,93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1,29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-0,05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14%</w:t>
            </w:r>
          </w:p>
        </w:tc>
      </w:tr>
    </w:tbl>
    <w:p>
      <w:pPr>
        <w:spacing w:after="120" w:line="240" w:lineRule="auto"/>
      </w:pPr>
      <w:r>
        <w:rPr>
          <w:rFonts w:ascii="Times New Roman" w:hAnsi="Times New Roman"/>
          <w:b w:val="0"/>
          <w:i w:val="0"/>
          <w:sz w:val="18"/>
        </w:rPr>
        <w:t>Fonte: dados da pesquisa (2026).</w:t>
      </w:r>
    </w:p>
    <w:p>
      <w:pPr>
        <w:spacing w:before="80" w:line="240" w:lineRule="auto"/>
        <w:jc w:val="center"/>
      </w:pPr>
      <w:r>
        <w:rPr>
          <w:rFonts w:ascii="Times New Roman" w:hAnsi="Times New Roman"/>
          <w:b w:val="0"/>
          <w:i w:val="0"/>
          <w:sz w:val="19"/>
        </w:rPr>
        <w:t>Figura S6 – Decomposição em três facetas (estado, traço, ruído)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fac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spacing w:before="80" w:line="240" w:lineRule="auto"/>
        <w:jc w:val="center"/>
      </w:pPr>
      <w:r>
        <w:rPr>
          <w:rFonts w:ascii="Times New Roman" w:hAnsi="Times New Roman"/>
          <w:b w:val="0"/>
          <w:i w:val="0"/>
          <w:sz w:val="19"/>
        </w:rPr>
        <w:t>Figura S7 – Variância explicada pelos componentes principais (BRUMS)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p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spacing w:before="200" w:after="60"/>
      </w:pPr>
      <w:r>
        <w:rPr>
          <w:rFonts w:ascii="Times New Roman" w:hAnsi="Times New Roman"/>
          <w:b/>
          <w:i w:val="0"/>
          <w:sz w:val="24"/>
        </w:rPr>
        <w:t>S6. Modelo misto multivariado e correlações</w:t>
      </w:r>
    </w:p>
    <w:p>
      <w:pPr>
        <w:spacing w:before="80" w:line="240" w:lineRule="auto"/>
        <w:jc w:val="left"/>
      </w:pPr>
      <w:r>
        <w:rPr>
          <w:rFonts w:ascii="Times New Roman" w:hAnsi="Times New Roman"/>
          <w:b w:val="0"/>
          <w:i w:val="0"/>
          <w:sz w:val="19"/>
        </w:rPr>
        <w:t>Tabela S5 – Testes multivariados do efeito do microciclo (eixo energia–fadiga)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Teste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Estatística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p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Efeito conjunto do dia (LRT)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χ²(4) = 109,1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p &lt; 0,001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Hotelling T² (D1 vs D7)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F(4,17) = 18,17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p &lt; 0,001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D de Mahalanobis (D1→D7)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2,02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—</w:t>
            </w:r>
          </w:p>
        </w:tc>
      </w:tr>
    </w:tbl>
    <w:p>
      <w:pPr>
        <w:spacing w:after="120" w:line="240" w:lineRule="auto"/>
      </w:pPr>
      <w:r>
        <w:rPr>
          <w:rFonts w:ascii="Times New Roman" w:hAnsi="Times New Roman"/>
          <w:b w:val="0"/>
          <w:i w:val="0"/>
          <w:sz w:val="18"/>
        </w:rPr>
        <w:t>Fonte: dados da pesquisa (2026).</w:t>
      </w:r>
    </w:p>
    <w:p>
      <w:pPr>
        <w:spacing w:before="80" w:line="240" w:lineRule="auto"/>
        <w:jc w:val="center"/>
      </w:pPr>
      <w:r>
        <w:rPr>
          <w:rFonts w:ascii="Times New Roman" w:hAnsi="Times New Roman"/>
          <w:b w:val="0"/>
          <w:i w:val="0"/>
          <w:sz w:val="19"/>
        </w:rPr>
        <w:t>Figura S8 – Correlações entre-atletas (traço)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505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trait_cor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spacing w:before="80" w:line="240" w:lineRule="auto"/>
        <w:jc w:val="center"/>
      </w:pPr>
      <w:r>
        <w:rPr>
          <w:rFonts w:ascii="Times New Roman" w:hAnsi="Times New Roman"/>
          <w:b w:val="0"/>
          <w:i w:val="0"/>
          <w:sz w:val="19"/>
        </w:rPr>
        <w:t>Figura S9 – Correlação intra-atleta (rmcorr)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5332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rmcor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33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spacing w:before="200" w:after="60"/>
      </w:pPr>
      <w:r>
        <w:rPr>
          <w:rFonts w:ascii="Times New Roman" w:hAnsi="Times New Roman"/>
          <w:b/>
          <w:i w:val="0"/>
          <w:sz w:val="24"/>
        </w:rPr>
        <w:t>S7. Análise fatorial confirmatória (6 fatores do BRUMS)</w:t>
      </w:r>
    </w:p>
    <w:p>
      <w:pPr>
        <w:spacing w:before="80" w:line="240" w:lineRule="auto"/>
        <w:jc w:val="left"/>
      </w:pPr>
      <w:r>
        <w:rPr>
          <w:rFonts w:ascii="Times New Roman" w:hAnsi="Times New Roman"/>
          <w:b w:val="0"/>
          <w:i w:val="0"/>
          <w:sz w:val="19"/>
        </w:rPr>
        <w:t>Tabela S6 – Índices de ajuste da AFC (estimação por máxima verossimilhança; 24 itens; observações aninhadas)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Índice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Valor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χ² (df)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923 (237)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CFI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0,864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TLI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0,842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RMSEA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0,080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SRMR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0,084</w:t>
            </w:r>
          </w:p>
        </w:tc>
      </w:tr>
    </w:tbl>
    <w:p>
      <w:pPr>
        <w:spacing w:after="120" w:line="240" w:lineRule="auto"/>
      </w:pPr>
      <w:r>
        <w:rPr>
          <w:rFonts w:ascii="Times New Roman" w:hAnsi="Times New Roman"/>
          <w:b w:val="0"/>
          <w:i w:val="0"/>
          <w:sz w:val="18"/>
        </w:rPr>
        <w:t>Fonte: dados da pesquisa (2026).</w:t>
      </w:r>
    </w:p>
    <w:p>
      <w:pPr>
        <w:spacing w:before="200" w:after="60"/>
      </w:pPr>
      <w:r>
        <w:rPr>
          <w:rFonts w:ascii="Times New Roman" w:hAnsi="Times New Roman"/>
          <w:b/>
          <w:i w:val="0"/>
          <w:sz w:val="24"/>
        </w:rPr>
        <w:t>S8. Ajuste alométrico e normalização por massa e por pico de velocidade</w:t>
      </w:r>
    </w:p>
    <w:p>
      <w:pPr>
        <w:spacing w:before="80" w:line="240" w:lineRule="auto"/>
        <w:jc w:val="left"/>
      </w:pPr>
      <w:r>
        <w:rPr>
          <w:rFonts w:ascii="Times New Roman" w:hAnsi="Times New Roman"/>
          <w:b w:val="0"/>
          <w:i w:val="0"/>
          <w:sz w:val="19"/>
        </w:rPr>
        <w:t>Tabela S7 – Ajuste alométrico da trajetória de fadiga (Y = a·diaᵇ)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Variável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b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R²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Fadiga física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4,34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0,24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0,88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Fadiga BRUMS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3,99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0,24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0,76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PTH/TMD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2,59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0,35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0,22</w:t>
            </w:r>
          </w:p>
        </w:tc>
      </w:tr>
    </w:tbl>
    <w:p>
      <w:pPr>
        <w:spacing w:after="120" w:line="240" w:lineRule="auto"/>
      </w:pPr>
      <w:r>
        <w:rPr>
          <w:rFonts w:ascii="Times New Roman" w:hAnsi="Times New Roman"/>
          <w:b w:val="0"/>
          <w:i w:val="0"/>
          <w:sz w:val="18"/>
        </w:rPr>
        <w:t>Fonte: dados da pesquisa (2026).</w:t>
      </w:r>
    </w:p>
    <w:p>
      <w:pPr>
        <w:spacing w:before="80" w:line="240" w:lineRule="auto"/>
        <w:jc w:val="left"/>
      </w:pPr>
      <w:r>
        <w:rPr>
          <w:rFonts w:ascii="Times New Roman" w:hAnsi="Times New Roman"/>
          <w:b w:val="0"/>
          <w:i w:val="0"/>
          <w:sz w:val="19"/>
        </w:rPr>
        <w:t>Tabela S8 – Normalização alométrica: expoentes (b) e correlação (ρ) com a covariável, bruta → após normalização, por massa e por pico de velocidade (* p &lt; 0,05; a queda de ρ para ≈ 0 confirma a remoção da dependência)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Variável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b massa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ρ massa (bruto→norm.)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b PV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ρ PV (bruto→norm.)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Fadiga física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+0,58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+0,35 → -0,04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-1,62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-0,52* → -0,19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Fadiga BRUMS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+1,27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+0,34 → -0,03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-1,44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-0,32 → -0,17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PTH/TMD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-0,00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+0,06 → -0,02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-4,18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-0,22 → -0,21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Vigor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+0,15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+0,16 → +0,02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+2,18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+0,48* → +0,09</w:t>
            </w:r>
          </w:p>
        </w:tc>
      </w:tr>
    </w:tbl>
    <w:p>
      <w:pPr>
        <w:spacing w:after="120" w:line="240" w:lineRule="auto"/>
      </w:pPr>
      <w:r>
        <w:rPr>
          <w:rFonts w:ascii="Times New Roman" w:hAnsi="Times New Roman"/>
          <w:b w:val="0"/>
          <w:i w:val="0"/>
          <w:sz w:val="18"/>
        </w:rPr>
        <w:t>Fonte: dados da pesquisa (2026).</w:t>
      </w:r>
    </w:p>
    <w:p>
      <w:pPr>
        <w:spacing w:line="33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2"/>
        </w:rPr>
        <w:t>A normalização alométrica ajusta cada variável pela covariável elevada a um expoente estimado (Y/massaᵇ e Y/PVᵇ). Pela massa corporal, os expoentes não atingiram significância e as correlações brutas foram fracas — as variáveis de humor e fadiga são essencialmente independentes do porte corporal, tornando a normalização por massa dispensável. Pela aptidão aeróbia (pico de velocidade do T-CAR), evidenciou-se um gradiente significativo: atletas mais aptos apresentaram menor fadiga física (ρ = −0,52; p &lt; 0,05) e maior vigor (ρ = +0,48; p &lt; 0,05), com expoentes negativos para as fadigas e positivo para o vigor. Portanto, o pico de velocidade — e não a massa — é a covariável relevante, e a normalização por PVᵇ produz um índice de fadiga ajustado à aptidão.</w:t>
      </w:r>
    </w:p>
    <w:p>
      <w:pPr>
        <w:spacing w:before="80" w:line="240" w:lineRule="auto"/>
        <w:jc w:val="center"/>
      </w:pPr>
      <w:r>
        <w:rPr>
          <w:rFonts w:ascii="Times New Roman" w:hAnsi="Times New Roman"/>
          <w:b w:val="0"/>
          <w:i w:val="0"/>
          <w:sz w:val="19"/>
        </w:rPr>
        <w:t>Figura S10 – Ajuste alométrico da trajetória de fadiga (linear e log-log)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all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spacing w:before="80" w:line="240" w:lineRule="auto"/>
        <w:jc w:val="center"/>
      </w:pPr>
      <w:r>
        <w:rPr>
          <w:rFonts w:ascii="Times New Roman" w:hAnsi="Times New Roman"/>
          <w:b w:val="0"/>
          <w:i w:val="0"/>
          <w:sz w:val="19"/>
        </w:rPr>
        <w:t>Figura S11 – Relações alométricas (log-log) com a massa corporal (esq.) e com o pico de velocidade (dir.)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203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allonor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20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Fonte: elaborado pelos autores (2026).</w:t>
      </w:r>
    </w:p>
    <w:p>
      <w:pPr>
        <w:spacing w:line="336" w:lineRule="auto"/>
        <w:jc w:val="both"/>
      </w:pPr>
      <w:r>
        <w:rPr>
          <w:rFonts w:ascii="Times New Roman" w:hAnsi="Times New Roman"/>
          <w:b w:val="0"/>
          <w:i/>
          <w:sz w:val="18"/>
        </w:rPr>
        <w:t>Reprodutibilidade: todas as análises são reproduzíveis pelos scripts em Python do repositório; atletas anonimizados (A01–A27); nenhum dado bruto com identificação é distribuído.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