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 a comparação de cada dimensão do BRUMS entre todos os dias e a identificação dos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com um total de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o que indica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o que fundamenta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entre elas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2026); firma-se, assim, como um indicador de baixo custo e alta sensibilidade para a triagem do bem-estar psicológico e do risco de saúde mental em contextos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prática, a escala tem sido empregada sobretudo em dois momentos: como um retrato pontual em torno da competição, associado à probabilidade de vitória e ao estado pré-jogo (BRANDT et al., 2019; DO NASCIMENTO et al., 2026), e em comparações entre fases de treino separadas por semanas ou meses, muitas vezes em paralelo a marcadores hormonais e de sono (ROUVEIX et al., 2006; ANDRADE et al., 2019). Permanece menos explorada, contudo, a dinâmica fina do humor no interior de um único microciclo — aquela que distingue a oscilação aguda de cada sessão do acúmulo ao longo dos dias —, sobretudo quando acompanhada de forma contínua e articulada à aptidão física em uma modalidade coletiva.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Dois desses perfis são especialmente informativos para a leitura de um microciclo de carga. O iceberg — vigor elevado sobrepondo-se a dimensões negativas baixas — é a assinatura da prontidão e do bem-estar e associa-se a melhor desempenho esportivo, tendo a perturbação total do humor predito o rendimento em meta-análise de estudos com atletas competitivos (efeito médio; LOCHBAUM et al., 2021). A barbatana de tubarão (shark fin), por sua vez, descreve o atleta ainda energizado, porém com a fadiga já elevada acima do vigor — e, em graus variados, com tensão e raiva acentuadas —, e configura a assinatura afetiva típica do acúmulo de treino. Como o humor é um estado transitório e sensível à carga, é de se esperar que, ao longo de uma semana intensa de treinamento, a prevalência se desloque do iceberg para a barbatana de tubarão: um “derretimento do iceberg” que traduz, no plano dos perfis, a deterioração progressiva do eixo energia–fadiga (MORGAN, 1985; HAN; PARSONS-SMITH; TERRY, 2020). Descrever esse deslocamento ao longo dos dias — e não apenas em um instantâneo — é o que permite distinguir a fadiga funcional, esperada e reversível, de uma deterioração que exigiria intervenção, e constitui um dos focos centrais deste estudo.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o que exige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com a preservação da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Apesar da ampla adoção da BRUMS, escasseiam descrições detalhadas do comportamento do humor ao longo de um microciclo pré-competitivo de handebol de elite — precisamente a fase de acumulação em que se instala o sobre-esforço funcional e na qual a triagem do estado psicofisiológico se torna mais decisiva. Diante dessa lacuna, o objetivo geral consistiu em caracterizar e analisar o perfil de humor desses atletas na última semana de pré-temporada, com atenção ao comportamento de cada dimensão do BRUMS, à comparação entre todos os dias, à identificação dos dias de maior e menor expressão de cada estado e à relação da resposta com a aptidão aeróbia intermitente. De modo específico, o estudo propôs-se a: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(x) caracterizar a sonolência e o estresse percebido e sua relação com o humor; e (xi) modelar a dinâmica temporal das trajetórias — taxa de variação, aceleração e cruzamento energia–fadiga —, com separação entre o sinal sistemático e o ruído amostral. Hipotetizou-se que a deterioração se concentraria no eixo energia–fadiga, com migração do perfil iceberg (prontidão) para o de barbatana de tubarão (fadiga funcional) e um cruzamento entre as trajetórias de vigor e fadiga ao longo da semana, e que a aptidão aeróbia intermitente modularia a magnitude dessa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de utilidade para a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o que garante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com a divisão de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por regressão logística (probabilidade de um dia de fadiga elevada em função do pico de velocidade), com o ponto de corte definido pelo índice de Youden — que maximiza a soma de sensibilidade e especificidade —, a discriminação avaliada pela área sob a curva ROC e a qualidade de ajuste do modelo logístico reportada pela log-verossimilhança, pelo pseudo-R² de McFadden e pelos critérios de informação de Akaike (AIC) e bayesiano (BIC). Como verificação a posteriori da forma funcional dessa relação, a associação entre o pico de velocidade e a resposta semanal de humor (fadiga física e vigor) foi ajustada por três modelos concorrentes — linear, logarítmico (ln do pico de velocidade) e polinomial de 2º grau —, com a escolha daquele de melhor compromisso entre ajuste e parcimônia pelo menor AIC/BIC, além do R² ajustado e do RMSE; para o modelo logístico, comparou-se ainda o preditor na escala bruta contra a logarítmica. A migração de perfil ao longo da semana foi testada como tendência por regressão logística da probabilidade de cada perfil (iceberg e barbatana de tubarão) em função do dia do microciclo, e modelou-se também a probabilidade de um dia de baixo vigor (tercil inferior) e a de exibir o perfil iceberg em função do pico de velocidade; os intervalos de confiança das razões de chances e das áreas sob a curva foram obtidos por reamostragem (bootstrap, 1000 repetições) de atletas, para acomodar a estrutura de medidas repetidas. Além do ponto de corte único, o pico de velocidade foi estratificado por dois limiares — os tercis de sua distribuição — em três faixas de aptidão, com a comparação da prevalência de dias críticos entre as faixas ordenadas pelo teste de tendência linear de Cochran-Armitage. Para separar o efeito da aptidão do efeito do tamanho corporal, o pico de velocidade foi ainda submetido a ajuste alométrico: estimou-se o expoente da relação alométrica pela regressão log(PV)–log(massa) e normalizou-se o PV pela massa elevada a esse expoente, com o contraste entre as associações do PV bruto e do PV normalizado com a fadiga e o vigor. A dinâmica temporal foi ainda modelada por meio do ajuste de uma função polinomial às médias diárias de cada dimensão, da qual se obtiveram, por derivação, a taxa de variação instantânea (derivada primeira), os pontos críticos (máximos e mínimos) e o ponto de inflexão (raiz da derivada segunda). A mesma componente suave foi usada para decompor cada trajetória em sinal e ruído, com a quantificação da razão sinal-ruído (SNR) e uma visualização suavizada das curvas. Para identificar os moduladores da magnitude dos efeitos, definiu-se o efeito agudo como a variação intrassessão (pós − pré) por atleta-dia e o efeito crônico como a inclinação semanal (taxa por dia) da média diária de cada dimensão; a associação de cada efeito com as características do atleta — aptidão aeróbia intermitente (PV), composição corporal, potência de membros inferiores (salto e arremesso), sonolência, estresse e carga interna (TRIMP) — foi quantificada pela correlação de Pearson e pelo coeficiente de determinação (R²), além de modelos de regressão múltipla com coeficientes padronizados (β*); dado o número de testes, aplicou-se a correção de Holm para comparações múltiplas.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o que justifica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comparação de todos os dias entre si (pós-teste de Tukey; Tabela 8; Figura 3), o vigor diferiu significativamente em 9 dos 21 pares de dias e a fadiga em 6 — sempre no sentido de piora em relação aos primeiros dias —, com a confirmação da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o que evidencia a concentração do efeito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o que reforça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o que permite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em recuo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60" w:after="40"/>
      </w:pPr>
      <w:r>
        <w:rPr>
          <w:sz w:val="22"/>
        </w:rPr>
        <w:t>Tabela 13 – Regressão logística da probabilidade de perfil de humor em função do dia do microciclo (tendência): razão de chances por dia, probabilidade prevista no Dia 1 e no Dia 7, discriminação 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(desfecho)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OR por dia [IC95%]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AUC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 [0,81–1,05]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Barbatana de tubarão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 [1,22–1,70]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0,047</w:t>
            </w:r>
          </w:p>
        </w:tc>
      </w:tr>
    </w:tbl>
    <w:p>
      <w:pPr>
        <w:spacing w:after="0"/>
      </w:pPr>
      <w:r>
        <w:rPr>
          <w:i/>
          <w:sz w:val="17"/>
        </w:rPr>
        <w:t>OR = razão de chances (odds ratio) por incremento de um dia; IC95% por reamostragem (bootstrap) de atletas; Pseudo-R² de McFadden. OR &gt; 1 indica aumento da chance do perfil ao longo da semana.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testar a migração de perfil como uma tendência ao longo da semana — e não pela via categórica de baixa potência do qui-quadrado —, ajustou-se uma regressão logística da probabilidade de cada perfil em função do dia do microciclo (Tabela 13). A chance do perfil de barbatana de tubarão cresceu de forma consistente a cada dia (OR = 1,37 por dia; IC95% 1,22–1,70), com a probabilidade prevista subindo de 0,04 no Dia 1 para 0,20 no Dia 7 — um aumento estatisticamente sustentado (o IC95% do OR exclui 1), que dá suporte inferencial à migração que o teste categórico não captara. Em espelho, a chance do perfil iceberg declinou ao longo da semana, embora sem significância (OR = 0,93 por dia; IC95% 0,81–1,05). O contraste confirma, no plano dos perfis, o mesmo eixo energia–fadiga: à medida que a semana avança, a prontidão cede lugar à assinatura de fadiga.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(T-CAR): regressão, comparação de modelos e limiar de pico de velocidade</w:t>
      </w:r>
    </w:p>
    <w:p>
      <w:pPr>
        <w:spacing w:before="160" w:after="40"/>
      </w:pPr>
      <w:r>
        <w:rPr>
          <w:sz w:val="22"/>
        </w:rPr>
        <w:t>Tabela 14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14.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60" w:after="40"/>
      </w:pPr>
      <w:r>
        <w:rPr>
          <w:sz w:val="22"/>
        </w:rPr>
        <w:t>Tabela 15 – Comparação a posteriori de modelos de curva (linear, logarítmico e polinomial) para a relação entre o pico de velocidade do T-CAR e a resposta semanal de humor, por qualidade de ajuste.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Relação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Modelo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 ajustado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BIC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RMSE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 física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1,381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0,154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96,9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1,384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95,0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99,9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1,378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 × T-CAR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Linear †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117,9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2,269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Logarítmica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118,0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121,7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2,274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Polinomial (2º grau)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119,7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124,6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2,259</w:t>
            </w:r>
          </w:p>
        </w:tc>
      </w:tr>
    </w:tbl>
    <w:p>
      <w:pPr>
        <w:spacing w:after="0"/>
      </w:pPr>
      <w:r>
        <w:rPr>
          <w:i/>
          <w:sz w:val="17"/>
        </w:rPr>
        <w:t>AIC = critério de informação de Akaike; BIC = critério bayesiano; RMSE = raiz do erro quadrático médio. † modelo de melhor ajuste (menor AIC). Valores menores de AIC/BIC indicam melhor compromisso entre ajuste e parcimônia.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ar_curv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Dispersão do pico de velocidade do T-CAR contra as médias semanais de fadiga física e de vigor, com os três modelos ajustados sobrepostos (o de menor AIC em linha cheia mais grossa).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verificar se a relação entre a aptidão e a resposta de humor seria mais bem descrita por uma forma não linear, ajustaram-se a posteriori três modelos de curva à relação entre o pico de velocidade do T-CAR e as médias semanais de fadiga física e de vigor — linear, logarítmico (ln do pico de velocidade) e polinomial de 2º grau —, comparados por R² ajustado, AIC e BIC (Tabela 15; Figura 14). Em ambas as relações, o modelo linear ofereceu o melhor compromisso entre ajuste e parcimônia (fadiga física: AIC = 93,1; vigor: AIC = 117,9); o ajuste logarítmico foi praticamente equivalente (ΔAIC ≈ 0,1) e o termo quadrático não compensou o parâmetro adicional (AIC maior, R² ajustado menor). Dentro da faixa de aptidão observada, portanto, a associação aptidão–humor é essencialmente linear, o que respalda descrevê-la pela reta de regressão. Para o desfecho binário — a probabilidade de um dia de fadiga elevada —, a regressão logística apresentou poder discriminativo moderado (pseudo-R² de McFadden = 0,057; AUC = 0,67), e a comparação do preditor na escala bruta contra a logarítmica favoreceu marginalmente a escala bruta (AIC 203,6 vs. 204,1), mantida, assim, na definição do limiar de pico de velocidade.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Duas regressões logísticas complementares fecham a leitura da aptidão. Simetricamente ao limiar de fadiga, modelou-se a probabilidade de um dia de baixo vigor (vigor no tercil inferior) em função do pico de velocidade: cada km/h a mais reduziu a chance de um dia de baixo vigor (OR = 0,59 por km/h) e o índice de Youden localizou um limiar de aproximadamente 14,9 km/h (sensibilidade = 0,79; especificidade = 0,57; área sob a curva = 0,66 [IC95% 0,50–0,78]), próximo ao limiar de fadiga e confirma o pico de velocidade como referência objetiva de prontidão. Por fim, a probabilidade de o atleta exibir o perfil iceberg tendeu a crescer com a aptidão (OR = 1,35 por km/h; área sob a curva = 0,63), porém sem significância (IC95% 0,70–4,35) — direção coerente com o papel protetor da capacidade aeróbia, que esta amostra, contudo, não teve potência para confirmar.</w:t>
      </w:r>
    </w:p>
    <w:p>
      <w:pPr>
        <w:spacing w:before="160" w:after="40"/>
      </w:pPr>
      <w:r>
        <w:rPr>
          <w:sz w:val="22"/>
        </w:rPr>
        <w:t>Tabela 16 – Estratificação do pico de velocidade do T-CAR em três faixas de aptidão por dois limiares (tercis da distribuição): prevalência de dias de fadiga elevada e de baixo vigor em cada faixa.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Faixa de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PV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 (atleta-dia)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elevada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Baixo vigor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Baixa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&lt; 14,4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14,4–15,1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35%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Alta aptidão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PV &gt; 15,1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18%</w:t>
            </w:r>
          </w:p>
        </w:tc>
      </w:tr>
    </w:tbl>
    <w:p>
      <w:pPr>
        <w:spacing w:after="0"/>
      </w:pPr>
      <w:r>
        <w:rPr>
          <w:i/>
          <w:sz w:val="17"/>
        </w:rPr>
        <w:t>Dois limiares (t₁ = 14,4 km/h; t₂ = 15,1 km/h) definem três faixas. Dia de fadiga elevada = fadiga física no tercil superior; dia de baixo vigor = vigor no tercil inferior. Tendência linear da prevalência (Cochran-Armitage): fadiga p = 0,011; baixo vigor p =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176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miar2_faixa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Dois limiares do pico de velocidade do T-CAR (14,4 e 15,1 km/h) que delimitam três faixas de aptidão (esquerda) e a prevalênciade dias de fadiga elevada e de baixo vigor em cada faixa (direita).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Em vez de um único ponto de corte, o pico de velocidade foi ainda estratificado por dois limiares — os tercis de sua distribuição (t₁ = 14,4 km/h; t₂ = 15,1 km/h) —, criando três faixas de aptidão com valor de decisão direto (Tabela 16; Figura 15). A prevalência de dias críticos caiu de forma consistente da faixa de baixa para a de alta aptidão, tanto para a fadiga elevada (47% → 45% → 22%; tendência p = 0,011) quanto para o baixo vigor (50% → 35% → 18%; tendência p = 0,001). O ganho da estratificação dupla é sobretudo prático: enquanto o limiar único de Youden (≈ 14,9 km/h) traça uma só linha, os dois limiares isolam uma faixa superior de aptidão (PV &gt; 15,1 km/h) em que o risco de dias críticos cai para cerca de um quinto das observações, e uma faixa inferior (PV &lt; 14,4 km/h) que concentra o maior risco — e oferece à comissão técnica uma referência graduada, e não binária, para individualizar a carga e priorizar a recuperação dos atletas menos aptos.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_curva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Curvas logísticas ajustadas: à esquerda, a probabilidade de um dia de fadiga elevada decresce com o pico de velocidade do T-CAR (pontos = proporção observada por faixa, tamanho proporcional ao n); à direita, a probabilidade do perfil barbatana de tubarão cresce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curvas logísticas ajustadas sintetizam, em forma gráfica, os dois modelos de probabilidade discutidos: a queda monotônica da chance de um dia de fadiga elevada à medida que aumenta o pico de velocidade e a elevação da chance do perfil de barbatana de tubarão ao longo dos dias (Figura 16).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17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17; Figura 17).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18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18)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o que confirma que os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19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18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19; Figura 18).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o que indica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160" w:after="40"/>
      </w:pPr>
      <w:r>
        <w:rPr>
          <w:sz w:val="22"/>
        </w:rPr>
        <w:t>Tabela 20 – Extremos da função ajustada e limites da derivada, por dimensão: valor máximo e mínimo modelados (com o dia) e os limites da taxa de variação P′ — subida máxima e queda máxima.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máx.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Valor mín.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máx./subida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 mín./queda (dia)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-0,87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+0,62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-0,10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+1,63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-0,35 (Dia 3)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0,73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 (Dia 5)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-0,67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8,6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 (Dia 1)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 (Dia 7)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-0,97 (Dia 4)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</w:tr>
    </w:tbl>
    <w:p>
      <w:pPr>
        <w:spacing w:after="0"/>
      </w:pPr>
      <w:r>
        <w:rPr>
          <w:i/>
          <w:sz w:val="17"/>
        </w:rPr>
        <w:t>Valores e taxas extraídos da função polinomial P(t) no intervalo [Dia 1; Dia 7]. Para as dimensões negativas (baixo R²; efeito de piso), os extremos modelados são apenas indicativos. Os máximos/mínimos observados constam na tabela de dias de pico (seção 3.7).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Os extremos das funções ajustadas e os limites de suas derivadas (Tabela 20) delimitam quantitativamente a resposta. O vigor varia entre um máximo de 8,2 pontos no Dia 1 e um mínimo de 4,4 no Dia 7, com a taxa de variação confinada entre -3,52 ponto/dia (queda máxima, no Dia 1) e +0,55 ponto/dia (leve recuperação em torno do meio da semana); a fadiga percorre o intervalo inverso (mínimo de 3,4 no Dia 1; máximo de 7,3 no Dia 7), com taxa entre -0,13 e +2,23 ponto/dia. Esses limites confirmam que a maior velocidade de mudança ocorre no início do microciclo e que o sistema afetivo opera dentro de uma faixa de variação bem definida.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721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19 – Cruzamento energia–fadiga: curvas suavizadas de vigor e fadiga com os pontos exatos de interseção (× ) e a área entre elas. O vigor parte muito acima e a fadiga o ultrapassa ao longo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sobreposição das curvas suavizadas de vigor e fadiga permite localizar o momento exato de sua inversão (Figura 19). No primeiro dia, o vigor supera a fadiga por ampla margem (4,9 pontos); essa vantagem colapsa já no Dia 2, e as duas dimensões passam a se cruzar repetidamente na região central da semana — os pontos de interseção das funções ocorrem nos dias 2, 4, 6 — reflexo de um período em que energia e fadiga permanecem estatisticamente entrelaçadas. A partir do último cruzamento (Dia 6), a fadiga assume e se distancia do vigor, e encerra a semana 2,8 pontos acima. Esse cruzamento energia–fadiga é a assinatura gráfica da migração do perfil de prontidão para o perfil de fadiga.</w:t>
      </w:r>
    </w:p>
    <w:p>
      <w:pPr>
        <w:spacing w:before="120" w:after="80" w:line="360" w:lineRule="auto"/>
      </w:pPr>
      <w:r>
        <w:rPr>
          <w:b/>
          <w:sz w:val="24"/>
        </w:rPr>
        <w:t>3.14 Decomposição sinal–ruído e suavização das trajetórias</w:t>
      </w:r>
    </w:p>
    <w:p>
      <w:pPr>
        <w:spacing w:before="160" w:after="40"/>
      </w:pPr>
      <w:r>
        <w:rPr>
          <w:sz w:val="22"/>
        </w:rPr>
        <w:t>Tabela 21 – Decomposição sinal–ruído das trajetórias diárias: proporção de sinal (variância explicada pela componente suave) e de ruído (resíduo), razão sinal-ruído (SNR) e SNR em decibéis.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Sinal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Ruído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SNR (dB)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73%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96%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+7,4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+6,1</w:t>
            </w:r>
          </w:p>
        </w:tc>
      </w:tr>
    </w:tbl>
    <w:p>
      <w:pPr>
        <w:spacing w:after="0"/>
      </w:pPr>
      <w:r>
        <w:rPr>
          <w:i/>
          <w:sz w:val="17"/>
        </w:rPr>
        <w:t>Sinal = componente suave (polinômio ajustado); ruído = resíduo em torno do sinal. SNR = variância do sinal / variância do ruído.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sign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20 – Trajetórias diárias suavizadas: sinal (curva) sobreposto às médias diárias observadas (pontos), com separação entre a tendência e oruído. A) eixo energia–fadiga; B) subescalas negativas.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separar a tendência sistemática (sinal) do ruído de amostragem e obter uma leitura visual mais limpa, cada trajetória diária foi decomposta em uma componente suave — a função polinomial ajustada — e um resíduo (Tabela 21; Figura 20). A suavização é altamente informativa no eixo energia–fadiga: o vigor e a fadiga são quase inteiramente sinal (96% e 95% da variância; razão sinal-ruído de 25,1 e 18,1, ou +14,0 e +12,6 dB), de modo que suas curvas suavizadas revelam com nitidez o cruzamento energia–fadiga em torno da metade da semana. Nas dimensões negativas, próximas do piso, a fração de ruído é muito maior — na depressão, o ruído (58%) supera o sinal (42%; SNR = 0,7), o que explica por que suas oscilações diárias não devem ser sobreinterpretadas. Em termos aplicados, a decomposição indica que o monitoramento deve priorizar o vigor e a fadiga, cujo sinal é robusto, e tratar as pequenas variações das dimensões negativas com a devida cautela.</w:t>
      </w:r>
    </w:p>
    <w:p>
      <w:pPr>
        <w:spacing w:before="120" w:after="80" w:line="360" w:lineRule="auto"/>
      </w:pPr>
      <w:r>
        <w:rPr>
          <w:b/>
          <w:sz w:val="24"/>
        </w:rPr>
        <w:t>3.15 Modelagem individual: trajetórias por atleta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v_spaghetti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21 – Trajetórias individuais de vigor e fadiga por atleta (linhas finas) e a média do grupo (linha grossa), que expõem aheterogeneidade da resposta.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Além da tendência do grupo, a resposta foi modelada por atleta, com o ajuste, para cada participante, de sua própria trajetória ao longo da semana (Figura 21). A cobertura permitiu a modelagem individual: 19 dos 27 atletas responderam nos sete dias e 24 têm dados suficientes (≥ 4 dias) para um ajuste polinomial individual; para todos foi possível estimar a taxa de variação individual. Em média, o vigor caiu -0,48 ponto/dia (DP 0,52) e a fadiga subiu +0,39 ponto/dia (DP 0,67), mas com nítida heterogeneidade entre atletas: 78% apresentaram a queda esperada de vigor e 78% o aumento esperado de fadiga, enquanto os demais mantiveram-se estáveis ou responderam na direção oposta. Essa dispersão das inclinações individuais mostra que a média do grupo convive com respondedores e não respondedores, o que reforça o valor do monitoramento individualizado — a mesma carga produz trajetórias afetivas distintas.</w:t>
      </w:r>
    </w:p>
    <w:p>
      <w:pPr>
        <w:spacing w:before="120" w:after="80" w:line="360" w:lineRule="auto"/>
      </w:pPr>
      <w:r>
        <w:rPr>
          <w:b/>
          <w:sz w:val="24"/>
        </w:rPr>
        <w:t>3.16 Trajetória em alta resolução: 13 pontos pré/pós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178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s13_curv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22 – Trajetória do grupo em 13 pontos temporais (baseline + pré e pós-treino de cada dia), com a dinâmica intradiária além da média diária.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 base nas duas coletas diárias dos dias de treino, a trajetória do grupo foi reconstruída em alta resolução, com 13 pontos temporais — a linha de base e os momentos pré e pós de cada um dos seis dias de treino (Figura 22). Essa resolução revela a dinâmica intradiária que a média diária mascara: em cada dia de treino, o vigor tende a cair e a fadiga (e a PTH) a subir do pré para o pós, com recuperação parcial na manhã seguinte — um padrão de dente de serra sobreposto à tendência semanal de queda de energia e acúmulo de fadiga. A leitura de alta resolução, portanto, confirma que a deterioração semanal resulta da soma de perturbações agudas incompletamente revertidas entre as sessões.</w:t>
      </w:r>
    </w:p>
    <w:p>
      <w:pPr>
        <w:spacing w:before="120" w:after="80" w:line="360" w:lineRule="auto"/>
      </w:pPr>
      <w:r>
        <w:rPr>
          <w:b/>
          <w:sz w:val="24"/>
        </w:rPr>
        <w:t>3.17 Auditoria de robustez: filtragem de sinal e ruído</w:t>
      </w:r>
    </w:p>
    <w:p>
      <w:pPr>
        <w:spacing w:before="160" w:after="40"/>
      </w:pPr>
      <w:r>
        <w:rPr>
          <w:sz w:val="22"/>
        </w:rPr>
        <w:t>Tabela 22 – Auditoria de robustez: principais resultados antes e depois da remoção de 11 observações atípicas (3.8% do total) por distância de Mahalanobis.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Métrica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brutos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Dados filtrados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D1→D7 (dz)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MANOVA (Wilks λ)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0,0006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Friedman (p)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ρ fadiga × fadiga física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+0,68</w:t>
            </w:r>
          </w:p>
        </w:tc>
      </w:tr>
    </w:tbl>
    <w:p>
      <w:pPr>
        <w:spacing w:after="0"/>
      </w:pPr>
      <w:r>
        <w:rPr>
          <w:i/>
          <w:sz w:val="17"/>
        </w:rPr>
        <w:t>Filtro: observações com distância de Mahalanobis nas seis subescalas acima do limiar de p &lt; 0,001.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Por fim, para verificar se as conclusões dependem de ruído amostral, todas as análises centrais foram reexecutadas após filtragem: identificaram-se e removeram-se 11 observações multivariadamente atípicas (3,8% do total) e os principais resultados foram recomputados (Tabela 22). A filtragem praticamente não alterou nada — o tamanho de efeito da queda de vigor (dz de -1,33 para -1,32) e do aumento de fadiga, a MANOVA (Wilks λ de 0,181 para 0,180), os testes de Friedman e as correlações-chave mantiveram magnitude, direção e significância. Essa estabilidade confirma que os achados do estudo são robustos e refletem sinal sistemático, e não artefatos de observações ruidosas.</w:t>
      </w:r>
    </w:p>
    <w:p>
      <w:pPr>
        <w:spacing w:before="120" w:after="80" w:line="360" w:lineRule="auto"/>
      </w:pPr>
      <w:r>
        <w:rPr>
          <w:b/>
          <w:sz w:val="24"/>
        </w:rPr>
        <w:t>3.18 Moduladores da magnitude dos efeitos agudo e crônico</w:t>
      </w:r>
    </w:p>
    <w:p>
      <w:pPr>
        <w:spacing w:before="160" w:after="40"/>
      </w:pPr>
      <w:r>
        <w:rPr>
          <w:sz w:val="22"/>
        </w:rPr>
        <w:t>Tabela 23 – Moduladores da magnitude do efeito crônico (inclinação semanal): correlação (r) e coeficiente de determinação (R²) entre cada característica do atleta e a taxa de variação do vigor e da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Moderador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Vigor — r (R²)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Fadiga — r (R²)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Aptidão (PV T-CAR)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+0,15 (0,02)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-0,12 (0,01)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% de gordura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+0,16 (0,02)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-0,30 (0,09)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Potência (CMJ)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-0,43 (0,18)*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 (0,01)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Potência (Baker)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+0,07 (0,01)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Sonolência (Epworth)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+0,42 (0,17)*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Estresse (PSS-14)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+0,33 (0,11)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+0,04 (0,00)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Carga interna (TRIMP)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-0,02 (0,00)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-0,03 (0,00)</w:t>
            </w:r>
          </w:p>
        </w:tc>
      </w:tr>
    </w:tbl>
    <w:p>
      <w:pPr>
        <w:spacing w:after="0"/>
      </w:pPr>
      <w:r>
        <w:rPr>
          <w:i/>
          <w:sz w:val="17"/>
        </w:rPr>
        <w:t>r = correlação de Pearson; R² = coeficiente de determinação (variância explicada); * p &lt; 0,05 sem correção. Nenhuma associação sobrevive à correção de Holm para 48 testes. CMJ = salto vertical; Baker = arremesso de medicine ball; TRIMP = carga interna.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4615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ador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4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23 – Modulação da taxa semanal pelo perfil do atleta: à esquerda, o coeficiente de determinação (R²) de cada característica sobre a taxa do vigor (verde) e da fadiga (laranja) — a fadiga é praticamente não modulada; à direita, a taxa de queda do vigor decresce com a potência de membros inferiores (salto CMJ).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Uma questão aplicada relevante é saber quais características do atleta modulam a intensidade da resposta — e em que medida. A magnitude do efeito agudo (variação pré → pós) revelou-se estável e independente do perfil individual: a queda média do vigor (-0,92 ponto por sessão), a elevação da fadiga (+1,42) e a da PTH (+3,04) não se acentuaram ao longo da semana (tendência por dia: p ≥ 0,24) nem se vincularam de modo consistente à aptidão, à composição corporal, à potência, ao sono ou à carga interna — todos os coeficientes de determinação foram baixos (R² &lt; 0,09). O choque afetivo intrassessão comporta-se, portanto, como uma resposta estereotipada, compartilhada pelo grupo.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efeito crônico (inclinação semanal) exibiu modulação apenas parcial, restrita ao vigor (Tabela 23; Figura 23). A taxa de acúmulo de fadiga foi praticamente idêntica entre os atletas — nenhum moderador explicou fração relevante de sua variância (R² ≤ 0,02) —, ao passo que a taxa de queda do vigor associou-se à potência de membros inferiores (salto CMJ: r = -0,43; R² = 0,18) e, em menor grau, à sonolência: os atletas mais explosivos perderam vigor mais depressa. Um modelo de regressão múltipla com aptidão e potência explicou cerca de 23% da variância da taxa do vigor (R² = 0,23; R² ajustado = 0,14), com o maior peso padronizado atribuído à potência (β* = -0,45). Impõe-se, porém, cautela: entre os 48 testes de moderação, nenhuma associação resistiu à correção de Holm para comparações múltiplas, de sorte que esses vínculos permanecem exploratórios. Predomina, assim, uma resposta de humor amplamente independente das características individuais mensuradas — sobretudo no eixo da fadiga —, o que reforça o caráter geral e esperado da reação à carga da pré-temporada.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na comparação de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aspecto metodológico distingue este estudo da tradição descritiva do perfilamento do humor. A literatura clássica caracteriza o humor de atletas por instantâneos — o perfil de um momento — ou, quando muito, por comparações de médias entre condições (LOCHBAUM et al., 2021). Aqui, ao ajustar uma função polinomial às trajetórias diárias e dela extrair as derivadas, passou-se de uma descrição estática para uma leitura dinâmica e quantitativa do humor, na linha do que Cockerill, Nevill e Lyons (1991) propuseram ao modelar estados de humor com finalidade prescritiva, e não apenas descritiva. A derivada primeira quantifica a velocidade da deterioração e a derivada segunda localiza o momento em que essa velocidade deixa de acelerar (inflexão em torno do Dia 4) e oferece à comissão técnica não apenas o quanto, mas o ritmo e a aceleração do desgaste — informação alinhada ao papel do monitoramento do humor como indicador precoce de sobrecarga e de excesso de treinamento (FEIJEN et al., 2020; NEDERHOF et al., 2007) e à dinâmica dia-a-dia entre carga de treino e humor descrita em outras modalidades (HAMLIN et al., 2019; ALFONSO; CAPDEVILA, 2022). A decomposição sinal–ruído, por sua vez, agrega rigor à interpretação: ao mostrar que o vigor e a fadiga são quase inteiramente sinal, ao passo que as dimensões negativas próximas do piso são dominadas por ruído, ela fundamenta quantitativamente a decisão de centrar o monitoramento no eixo energia–fadiga e de não sobreinterpretar as pequenas oscilações das demais subescalas — uma resposta direta às conhecidas limitações de fidedignidade e de efeito de piso dessas dimensões em amostras de elite (TERRY; LANE; FOGARTY, 2003). Por fim, o cruzamento energia–fadiga, obtido das curvas suavizadas, condensa em um único marcador visual e objetivo o instante em que a fadiga supera o vigor — evento que o acompanhamento diário isolado dificilmente tornaria tão explícito.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 e reclamam, a um só tempo,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e esclarece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que a regressão logística de tendência confirmou para o perfil de barbatana de tubarão, cuja chance cresceu cerca de 37% por dia (OR = 1,37 por dia; IC95% exclui 1), ainda que a via categórica do qui-quadrado, de menor potência, não a tenha detectado — reproduz, em um microciclo de handebol, o “derretimento do iceberg” descrito na literatura de sobrecarga (MORGAN, 1985; HAN; PARSONS-SMITH; TERRY, 2020).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Sob a ótica psicofisiológica, o eixo energia–fadiga funciona como um leitor do equilíbrio entre a carga de treino e a capacidade de recuperação. Em uma semana de acumulação, esse equilíbrio inclina-se transitoriamente para o polo da sobrecarga, e a queda do vigor com a ascensão da fadiga exprime, no plano afetivo, a resposta integrada do organismo ao esforço acumulado — uma cascata de ajustes metabólicos, hormonais e neurais que visam restaurar a homeostase e poupar energia (WOODS et al., 2018; VRIJKOTTE et al., 2019). A elevação da sonolência ao término da semana, sem alteração do estresse percebido, respalda essa leitura: a perturbação nasceu da carga física e da restauração incompleta entre as sessões, não de um estressor psicossocial concomitante. O acoplamento crescente entre o afeto negativo e a fadiga, do primeiro ao último dia, acompanha essa transição de um estado diferenciado para um estado integrado de estresse, no qual as respostas afetivas convergem sob um substrato central comum — leitura que o próprio delineamento sustenta, uma vez que os marcadores medidos (humor, sono e estresse) apontam para a mesma origem na carga de treino.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Esse conjunto de sinais delineia a assinatura de um sobre-esforço funcional (functional overreaching) — a fadiga planejada e reversível que precede a supercompensação — e não a de um estado disfuncional. A literatura recente ampara tal distinção: períodos de treino intensificado agravam a perturbação do humor e comprometem o desempenho, com plena recuperação após dias de afinamento, tanto em esportes coletivos (CAMPBELL et al., 2020) quanto em modalidades de resistência (PIACENTINI et al., 2016; WOODS et al., 2018), padrão que revisões sistemáticas reconhecem como um marcador do sobre-esforço funcional (ROETE et al., 2021). Cabe, todavia, a cautela metodológica que essas mesmas revisões assinalam: os instrumentos de humor sinalizam o sobre-esforço, porém nem sempre separam a fadiga aguda do acúmulo funcional (ROETE et al., 2021) — limitação que o presente desenho amortece ao dissociar a resposta aguda (pré → pós de cada sessão) do acúmulo semanal e ao modelar a trajetória temporal, o que torna visíveis tanto o choque intrassessão quanto a deriva ao longo dos dias. A preservação das dimensões de valência não fadiga e a ausência dos perfis de risco à saúde mental completam o quadro de uma adaptação esperada, e não de um processo patológico.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dos moduladores refina esse entendimento e traz uma mensagem de utilidade prática. A magnitude tanto do choque agudo quanto da deriva crônica mostrou-se, em larga medida, independente do perfil do atleta: nenhum dos preditores — aptidão, composição corporal, potência, sono, estresse ou carga interna — explicou parcela expressiva da variância, e nenhuma associação resistiu à correção para comparações múltiplas. A taxa de acúmulo de fadiga, em especial, revelou-se homogênea entre os atletas, o que sugere uma resposta obrigatória e comum à carga da pré-temporada — coerente com a leitura de um sobre-esforço funcional que atinge o grupo de maneira relativamente uniforme. A única modulação digna de nota, ainda que exploratória, recaiu sobre a taxa de queda do vigor, associada à potência de membros inferiores: os atletas mais explosivos perderam energia mais depressa, padrão compatível com a hipótese de que perfis de maior demanda neuromuscular acumulam fadiga central e periférica com maior rapidez sob um bloco de acumulação aeróbia. Do ponto de vista aplicado, a baixa modulação reforça que a vigilância do humor deve ser universal na equipe — e não reservada a subgrupos supostamente mais vulneráveis —, embora o eixo do vigor mereça atenção adicional nos atletas de perfil mais potente.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Situados no conjunto da literatura, esses achados ocupam uma lacuna específica. A BRUMS tem sido aplicada, predominantemente, como um retrato pontual em torno da competição (BRANDT et al., 2019; DO NASCIMENTO et al., 2026) ou em comparações entre fases de treino distantes semanas ou meses entre si (ROUVEIX et al., 2006), quase sempre associada ao sono, ao desempenho ou a marcadores hormonais (ANDRADE et al., 2019; ROUVEIX et al., 2006). São escassas, contudo, as descrições que acompanham o humor em alta resolução dentro de um único microciclo — com medidas duas vezes ao dia que separam a resposta aguda do acúmulo crônico —, que modelam a trajetória de forma contínua e que a articulam à aptidão aeróbia intermitente em uma modalidade coletiva de invasão. É precisamente esse o nicho do presente estudo, cuja abordagem temporal e multivariada oferece um retrato mais fino da dinâmica afetiva do que o instantâneo pré-competitivo predominante, e sinaliza um caminho para o monitoramento intramicrociclo em esportes de rendimento.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pois acelera a recuperação entre as ações e retarda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A estratificação por dois limiares refina essa referência ao substituir a linha única por três faixas de aptidão: a prevalência de dias críticos caiu de modo ordenado da faixa inferior para a superior (tendência significativa para fadiga e para baixo vigor), e a faixa de alta aptidão isolou atletas com risco de dias críticos reduzido a cerca de um quinto — uma leitura graduada, e não binária, mais aderente à decisão prática de dosar carga e recuperação atleta a atleta.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o que evidencia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comparação a posteriori de modelos de curva reforça a leitura dessa relação e agrega parcimônia à sua interpretação. Testadas as formas linear, logarítmica e polinomial, o modelo linear mostrou o melhor compromisso entre ajuste e parcimônia para a fadiga física e para o vigor (menores AIC e BIC), com o ajuste logarítmico praticamente equivalente e sem ganho do termo quadrático — o que revela que, na faixa de aptidão desta amostra, cada incremento de pico de velocidade se associa a uma variação aproximadamente constante da resposta de humor, sem evidência de saturação ou de limiar de rendimentos decrescentes. Esse resultado justifica descrever a associação pela reta de regressão e, ao mesmo tempo, delimita o alcance do modelo: uma relação linear estimada em uma faixa estreita de aptidão não deve ser extrapolada para além dela. Para o desfecho binário, a regressão logística — cuja qualidade de ajuste foi documentada pelo pseudo-R² de McFadden e pelos critérios de informação — sustentou o limiar de pico de velocidade como ferramenta prática de triagem, com preferência pelo preditor na escala bruta, de leitura mais direta para a comissão técnica.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carga: elevou-se rumo ao último dia e associou-se, entre os atletas, a mais fadiga e a um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transitou da prontidão para a fadiga: o vigor recuou e a fadiga avançou, do primeiro ao último dia e no interior de cada sessão, com confirmação pelas comparações entre todos os dias e pela análise multivariada. A modelagem das trajetórias situou o cruzamento entre vigor e fadiga na metade da semana e restringiu o sinal robusto ao eixo energia–fadiga, ao passo que as demais dimensões, próximas do piso, pouco informaram. O conjunto — deterioração limitada ao eixo energético, sem instalação dos perfis de risco à saúde mental e sem aumento do estresse psicossocial — corresponde a um sobre-esforço funcional, ou seja, a uma fadiga esperada e reversível, própria de uma fase de acumulação. A aptidão aeróbia intermitente atenuou essa resposta: os atletas mais aptos exibiram mais vigor e menos fadiga, e dois limiares de pico de velocidade delimitaram faixas de risco úteis à individualização da carga. Recomenda-se, portanto, o acompanhamento contínuo do humor na pré-temporada, com atenção primordial ao eixo energia–fadiga e à sua restauração na transição para o afinamento.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 associated with mood in elite athletes. The Physician and Sportsmedicine, v. 47, n. 3, p. 312–317, 2019. DOI: 10.1080/00913847.2018.1553467.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ALFONSO, C.; CAPDEVILA, L. Heart rate variability, mood and performance: a pilot study on the interrelation of these variables in amateur road cyclists. PeerJ, v. 10, e13094, 2022. DOI: 10.7717/peerj.13094.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BRANDT, R. et al. Comparisons of mood states associated with outcomes achieved by female and male athletes in high-level judo and Brazilian jiu-jitsu championships: psychological factors associated with the probability of success. Journal of Strength and Conditioning Research, v. 35, n. 9, p. 2518–2524, 2019. DOI: 10.1519/JSC.0000000000003218.</w:t>
      </w:r>
    </w:p>
    <w:p>
      <w:pPr>
        <w:spacing w:line="360" w:lineRule="auto" w:after="120"/>
        <w:jc w:val="both"/>
      </w:pPr>
      <w:r>
        <w:rPr>
          <w:sz w:val="22"/>
        </w:rPr>
        <w:t>CAMPBELL, P. G. et al. The effect of overreaching on neuromuscular performance and wellness responses in Australian rules football athletes. Journal of Strength and Conditioning Research, v. 34, n. 6, p. 1530–1538, 2020. DOI: 10.1519/JSC.0000000000003603.</w:t>
      </w:r>
    </w:p>
    <w:p>
      <w:pPr>
        <w:spacing w:line="360" w:lineRule="auto" w:after="120"/>
        <w:jc w:val="both"/>
      </w:pPr>
      <w:r>
        <w:rPr>
          <w:sz w:val="22"/>
        </w:rPr>
        <w:t>COCKERILL, I. M.; NEVILL, A. M.; LYONS, N. Modelling mood states in athletic performance. Journal of Sports Sciences, v. 9, n. 2, p. 205–212, 1991. DOI: 10.1080/02640419108729881.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FEIJEN, S. et al. Monitoring the swimmer’s training load: a narrative review of monitoring strategies applied in research. Scandinavian Journal of Medicine &amp; Science in Sports, v. 30, n. 11, p. 2037–2043, 2020. DOI: 10.1111/sms.13798.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HAMLIN, M. J. et al. Monitoring training loads and perceived stress in young elite university athletes. Frontiers in Physiology, v. 10, 34, 2019. DOI: 10.3389/fphys.2019.00034.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NEDERHOF, E. et al. Different diagnostic tools in nonfunctional overreaching. International Journal of Sports Medicine, v. 29, n. 7, p. 590–597, 2007. DOI: 10.1055/s-2007-989264.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PIACENTINI, M. F. et al. Effect of intensive training on mood with no effect on brain-derived neurotrophic factor. International Journal of Sports Physiology and Performance, v. 11, n. 6, p. 824–830, 2016. DOI: 10.1123/ijspp.2015-0279.</w:t>
      </w:r>
    </w:p>
    <w:p>
      <w:pPr>
        <w:spacing w:line="360" w:lineRule="auto" w:after="120"/>
        <w:jc w:val="both"/>
      </w:pPr>
      <w:r>
        <w:rPr>
          <w:sz w:val="22"/>
        </w:rPr>
        <w:t>ROETE, A. J. et al. A systematic review on markers of functional overreaching in endurance athletes. International Journal of Sports Physiology and Performance, v. 16, n. 8, p. 1065–1073, 2021. DOI: 10.1123/ijspp.2021-0024.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ROUVEIX, M. et al. The 24 h urinary cortisol/cortisone ratio and epinephrine/norepinephrine ratio for monitoring training in young female tennis players. International Journal of Sports Medicine, v. 27, n. 11, p. 856–863, 2006. DOI: 10.1055/s-2006-923778.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VRIJKOTTE, S. et al. The overtraining syndrome in soldiers: insights from the sports domain. Military Medicine, v. 184, n. 5-6, p. e192–e200, 2019. DOI: 10.1093/milmed/usy274.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p>
      <w:pPr>
        <w:spacing w:line="360" w:lineRule="auto" w:after="120"/>
        <w:jc w:val="both"/>
      </w:pPr>
      <w:r>
        <w:rPr>
          <w:sz w:val="22"/>
        </w:rPr>
        <w:t>WOODS, A. L. et al. The effects of intensified training on resting metabolic rate, body composition and performance in trained cyclists. PLoS ONE, v. 13, n. 2, e0191644, 2018. DOI: 10.1371/journal.pone.0191644.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