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Times New Roman" w:hAnsi="Times New Roman"/>
          <w:b w:val="0"/>
          <w:sz w:val="22"/>
        </w:rPr>
        <w:t>[Corresponding author name]</w:t>
        <w:br/>
        <w:t>[Affiliation]</w:t>
        <w:br/>
        <w:t>[Address]</w:t>
        <w:br/>
        <w:t>[E-mail]</w:t>
      </w:r>
    </w:p>
    <w:p>
      <w:pPr>
        <w:spacing w:before="0" w:after="200" w:line="276" w:lineRule="auto"/>
        <w:jc w:val="left"/>
      </w:pPr>
      <w:r>
        <w:rPr>
          <w:rFonts w:ascii="Times New Roman" w:hAnsi="Times New Roman"/>
          <w:b w:val="0"/>
          <w:sz w:val="22"/>
        </w:rPr>
        <w:t>[Date]</w:t>
      </w:r>
    </w:p>
    <w:p>
      <w:pPr>
        <w:spacing w:before="0" w:after="40" w:line="276" w:lineRule="auto"/>
        <w:jc w:val="left"/>
      </w:pPr>
      <w:r>
        <w:rPr>
          <w:rFonts w:ascii="Times New Roman" w:hAnsi="Times New Roman"/>
          <w:b/>
          <w:sz w:val="22"/>
        </w:rPr>
        <w:t>To the Editor-in-Chief, Sports (MDPI)</w:t>
      </w:r>
    </w:p>
    <w:p>
      <w:pPr>
        <w:spacing w:before="0" w:after="160" w:line="276" w:lineRule="auto"/>
        <w:jc w:val="left"/>
      </w:pPr>
      <w:r>
        <w:rPr>
          <w:rFonts w:ascii="Times New Roman" w:hAnsi="Times New Roman"/>
          <w:b w:val="0"/>
          <w:sz w:val="22"/>
        </w:rPr>
        <w:t>Dear Editor,</w:t>
      </w:r>
    </w:p>
    <w:p>
      <w:pPr>
        <w:spacing w:before="0" w:after="160" w:line="276" w:lineRule="auto"/>
        <w:jc w:val="both"/>
      </w:pPr>
      <w:r>
        <w:rPr>
          <w:rFonts w:ascii="Times New Roman" w:hAnsi="Times New Roman"/>
          <w:b w:val="0"/>
          <w:sz w:val="22"/>
        </w:rPr>
        <w:t>We are pleased to submit our manuscript entitled "Mood dynamics across a pre-competitive microcycle in elite handball: the energy-fatigue axis, profile migration, and trajectory modelling" for consideration as an Article in Sports.</w:t>
      </w:r>
    </w:p>
    <w:p>
      <w:pPr>
        <w:spacing w:before="0" w:after="160" w:line="276" w:lineRule="auto"/>
        <w:jc w:val="both"/>
      </w:pPr>
      <w:r>
        <w:rPr>
          <w:rFonts w:ascii="Times New Roman" w:hAnsi="Times New Roman"/>
          <w:b w:val="0"/>
          <w:sz w:val="22"/>
        </w:rPr>
        <w:t>Self-report mood monitoring with the Brunel Mood Scale (BRUMS) is well established in performance sport, yet fine-grained descriptions of how mood behaves within a single microcycle remain scarce. In 27 elite male handball players monitored twice daily across a seven-day pre-season microcycle, we characterise the mood response and, moving beyond descriptive snapshots, model the daily trajectories: we quantify the rate and acceleration of change, locate the vigour-fatigue crossover, decompose each trajectory into signal and noise, and test the migration from the iceberg to the shark-fin profile using logistic trend analysis. The deterioration concentrated on the energy-fatigue axis and matched a functional-overreaching signature - an expected, reversible fatigue - with no emergence of at-risk mood profiles. All central findings were robust to a noise-filtering audit.</w:t>
      </w:r>
    </w:p>
    <w:p>
      <w:pPr>
        <w:spacing w:before="0" w:after="160" w:line="276" w:lineRule="auto"/>
        <w:jc w:val="both"/>
      </w:pPr>
      <w:r>
        <w:rPr>
          <w:rFonts w:ascii="Times New Roman" w:hAnsi="Times New Roman"/>
          <w:b w:val="0"/>
          <w:sz w:val="22"/>
        </w:rPr>
        <w:t>We believe the manuscript fits the scope of Sports and complements the mood-profiling literature published in the journal, including the six-cluster taxonomy and its applications in Brazilian athletes.</w:t>
      </w:r>
    </w:p>
    <w:p>
      <w:pPr>
        <w:spacing w:before="0" w:after="160" w:line="276" w:lineRule="auto"/>
        <w:jc w:val="both"/>
      </w:pPr>
      <w:r>
        <w:rPr>
          <w:rFonts w:ascii="Times New Roman" w:hAnsi="Times New Roman"/>
          <w:b w:val="0"/>
          <w:sz w:val="22"/>
        </w:rPr>
        <w:t>Companion-paper disclosure: this manuscript is one of two companion reports that draw on the same cohort and microcycle but address distinct primary outcomes. The companion paper - on the physiological and wellness correlates of the mood response (aerobic fitness, anaerobic capacity, sleep, and perceived stress) - is being submitted to Biology of Sport. The two papers cross-cite each other. We disclose this to ensure full transparency and to avoid any appearance of redundant publication.</w:t>
      </w:r>
    </w:p>
    <w:p>
      <w:pPr>
        <w:spacing w:before="0" w:after="160" w:line="276" w:lineRule="auto"/>
        <w:jc w:val="both"/>
      </w:pPr>
      <w:r>
        <w:rPr>
          <w:rFonts w:ascii="Times New Roman" w:hAnsi="Times New Roman"/>
          <w:b w:val="0"/>
          <w:sz w:val="22"/>
        </w:rPr>
        <w:t>We confirm that this work is original, has not been published previously, and is not under consideration by any other journal. All authors have approved the submission and declare no conflicts of interest. Athlete data were fully anonymised, and the study was conducted in accordance with the Declaration of Helsinki with informed consent. Analysis scripts are available to support reproducibility.</w:t>
      </w:r>
    </w:p>
    <w:p>
      <w:pPr>
        <w:spacing w:before="0" w:after="160" w:line="276" w:lineRule="auto"/>
        <w:jc w:val="both"/>
      </w:pPr>
      <w:r>
        <w:rPr>
          <w:rFonts w:ascii="Times New Roman" w:hAnsi="Times New Roman"/>
          <w:b w:val="0"/>
          <w:sz w:val="22"/>
        </w:rPr>
        <w:t>Thank you for considering our manuscript. We look forward to your response.</w:t>
      </w:r>
    </w:p>
    <w:p>
      <w:pPr>
        <w:spacing w:before="120" w:after="40" w:line="276" w:lineRule="auto"/>
        <w:jc w:val="left"/>
      </w:pPr>
      <w:r>
        <w:rPr>
          <w:rFonts w:ascii="Times New Roman" w:hAnsi="Times New Roman"/>
          <w:b w:val="0"/>
          <w:sz w:val="22"/>
        </w:rPr>
        <w:t>Sincerely,</w:t>
      </w:r>
    </w:p>
    <w:p>
      <w:pPr>
        <w:spacing w:before="0" w:after="0" w:line="276" w:lineRule="auto"/>
        <w:jc w:val="left"/>
      </w:pPr>
      <w:r>
        <w:rPr>
          <w:rFonts w:ascii="Times New Roman" w:hAnsi="Times New Roman"/>
          <w:b w:val="0"/>
          <w:sz w:val="22"/>
        </w:rPr>
        <w:t>[Corresponding author name], on behalf of all authors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