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12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 de 46% (tensão) a 79% (confusão) das observações no escore zero — e acentuada assimetria positiva, o que comprime a variância e limita, por construção, a sua responsividade à carga; trata-se de uma expressão do perfil mentalmente saudável (iceberg) do atleta de elite, e não de falha do instrumento (MORGAN, 1985; TERWEE et al., 2007).</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9)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19;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 razão pela qual sonolência e estresse foram lidos por média semanal, e não por flutuação diária. Convém, ainda, a cautela já apontada quanto ao índice de fadiga do teste de sprints repetidos, de confiabilidade limitada.</w:t>
      </w:r>
    </w:p>
    <w:p>
      <w:pPr>
        <w:spacing w:line="360" w:lineRule="auto" w:after="120"/>
        <w:ind w:firstLine="709"/>
        <w:jc w:val="both"/>
      </w:pPr>
      <w:r>
        <w:rPr>
          <w:b w:val="0"/>
          <w:sz w:val="24"/>
        </w:rPr>
        <w:t>Essas limitações, porém, são atenuadas pela convergência das evidências, o que preserva a validade da conclusão central sobre a especificidade aeróbia. Três abordagens independentes — correlação parcial com controle da massa, ajuste alométrico e análise de comunalidade —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 o que habilitaria o gradiente dose-resposta aqui inviável —,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