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 hipótese que este estudo examina.</w:t>
      </w:r>
    </w:p>
    <w:p>
      <w:pPr>
        <w:spacing w:before="120" w:after="80" w:line="360" w:lineRule="auto"/>
      </w:pPr>
      <w:r>
        <w:rPr>
          <w:b/>
          <w:sz w:val="24"/>
        </w:rPr>
        <w:t>1.4 Objetivos e hipóteses</w:t>
      </w:r>
    </w:p>
    <w:p>
      <w:pPr>
        <w:spacing w:line="360" w:lineRule="auto" w:after="12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 isto é, se é a capacidade aeróbia ou a anaeróbia que de fato acompanha a fadiga afetiva —,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 e não apenas a intensidade máxima isolada —,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12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pela assimetria e pelo efeito de piso (presente quando mais de 15% das observações no menor escore; TERWEE et al., 2007). A partir do ICC e do desvio-padrão, derivaram-se o erro-padrão de medida (SEM), a mudança mínima detectável (MDC = 1,96 × √2 × SEM) e a menor mudança relevante (SWC = 0,2 × desvio-padrão entre atletas), a fim de balizar a interpretação de mudanças individuais no humor e o uso prático do limiar de aptidão.</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 que maximiza a soma de sensibilidade e especificidade —,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 linear, logarítmico (ln do pico de velocidade) e polinomial de 2º grau —,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 os tercis de sua distribuição —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 aptidão aeróbia intermitente (PV), composição corporal, potência de membros inferiores (salto CMJ), sprints repetidos (Baker), sonolência, estresse e carga interna (TRIMP) —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12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Por fim, para integrar a aptidão à trajetória do humor num único modelo, ajustou-se uma regressão bayesiana multinível de curva de crescimento com o pico de velocidade como preditor de nível 2, com a separação entre o seu efeito sobre o nível do humor (intercepto) e o seu efeito sobre a taxa de mudança (interação com o dia), com interceptos e inclinações aleatórios por atleta e estimação por amostrador de Gibbs (prioris conjugadas fracamente informativas; semente 2024), validada contra um modelo misto de máxima verossimilhança restrita (McELREATH,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5: o vigor e a fadiga concentram as maiores médias e variabilidade.</w:t>
      </w:r>
    </w:p>
    <w:p>
      <w:pPr>
        <w:spacing w:before="160" w:after="40"/>
      </w:pPr>
      <w:r>
        <w:rPr>
          <w:sz w:val="22"/>
        </w:rPr>
        <w:t>Tabela 6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presente quando &gt; 15% das observações no menor escore (TERWEE et al., 2007).</w:t>
      </w:r>
    </w:p>
    <w:p>
      <w:pPr>
        <w:spacing w:after="120"/>
      </w:pPr>
      <w:r>
        <w:rPr>
          <w:sz w:val="18"/>
        </w:rPr>
        <w:t>Fonte: dados da pesquisa (2026).</w:t>
      </w:r>
    </w:p>
    <w:p>
      <w:pPr>
        <w:spacing w:line="360" w:lineRule="auto" w:after="120"/>
        <w:ind w:firstLine="709"/>
        <w:jc w:val="both"/>
      </w:pPr>
      <w:r>
        <w:rPr>
          <w:b w:val="0"/>
          <w:sz w:val="24"/>
        </w:rPr>
        <w:t>As propriedades psicométricas (Tabela 6) contextualizam a insensibilidade das dimensões negativas. O vigor e a fadiga distribuíram-se por toda a escala, sem efeito de piso (9% e 10% no menor escore) e com consistência interna adequada a boa (α = 0,68 e 0,80). As quatro dimensões negativas, ao contrário, apresentaram forte efeito de piso — de 46% (tensão) a 79% (confusão) das observações no escore zero — e acentuada assimetria positiva, o que comprime a variância e limita, por construção, a sua responsividade à carga; trata-se de uma expressão do perfil mentalmente saudável (iceberg) do atleta de elite, e não de falha do instrumento (MORGAN, 1985; TERWEE et al., 2007). A Perturbação Total do Humor, por ser composta, não sofreu efeito de piso e foi governada pelo eixo energia–fadiga (o vigor e a fadiga explicam 70% da sua variância), o que a mantém sensível à carga.</w:t>
      </w:r>
    </w:p>
    <w:p>
      <w:pPr>
        <w:spacing w:before="120" w:after="80" w:line="360" w:lineRule="auto"/>
      </w:pPr>
      <w:r>
        <w:rPr>
          <w:b/>
          <w:sz w:val="24"/>
        </w:rPr>
        <w:t>3.4 Diferenças entre pré e pós-treino (com tamanho de efeito)</w:t>
      </w:r>
    </w:p>
    <w:p>
      <w:pPr>
        <w:spacing w:before="160" w:after="40"/>
      </w:pPr>
      <w:r>
        <w:rPr>
          <w:sz w:val="22"/>
        </w:rPr>
        <w:t>Tabela 7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7):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8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8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9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9) foi moderada a boa, com os valores mais baixos na raiva e na confusão — dimensões mais reativas dia a dia.</w:t>
      </w:r>
    </w:p>
    <w:p>
      <w:pPr>
        <w:spacing w:line="360" w:lineRule="auto" w:after="120"/>
        <w:ind w:firstLine="709"/>
        <w:jc w:val="both"/>
      </w:pPr>
      <w:r>
        <w:rPr>
          <w:b w:val="0"/>
          <w:sz w:val="24"/>
        </w:rPr>
        <w:t>Os limiares de mudança do humor delimitam o alcance da leitura individual. O erro-padrão de medida foi de 2,3 ponto no vigor e 2,5 na fadiga (escala 0–16), de modo que a mudança mínima detectável — a menor variação individual distinguível do erro de medida — situou-se em torno de 5,3 a 6,3 pontos no vigor e 5,9 a 7,0 na fadiga (90% e 95% de confiança). Como esses valores superam largamente a menor mudança relevante (SWC = 0,5 e 0,6), uma oscilação isolada de um único atleta só deve ser tomada como real quando ultrapassa a mudança mínima detectável; do contrário, a decisão ganha robustez ao apoiar-se na média semanal e na posição do atleta em relação ao limiar de pico de velocidade, e não em leituras pontuais.</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10;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12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120"/>
        <w:ind w:firstLine="709"/>
        <w:jc w:val="both"/>
      </w:pPr>
      <w:r>
        <w:rPr>
          <w:b w:val="0"/>
          <w:sz w:val="24"/>
        </w:rPr>
        <w:t>O desempenho no T-CAR consta na Tabela 12.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13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12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 linear, logarítmico (ln do pico de velocidade) e polinomial de 2º grau —, comparados por R² ajustado, AIC e BIC (Tabela 13;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 a probabilidade de um dia de fadiga elevada —,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12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 direção coerente com o papel protetor da capacidade aeróbia, que esta amostra, contudo, não teve potência para confirmar.</w:t>
      </w:r>
    </w:p>
    <w:p>
      <w:pPr>
        <w:spacing w:before="160" w:after="40"/>
      </w:pPr>
      <w:r>
        <w:rPr>
          <w:sz w:val="22"/>
        </w:rPr>
        <w:t>Tabela 14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120"/>
        <w:ind w:firstLine="709"/>
        <w:jc w:val="both"/>
      </w:pPr>
      <w:r>
        <w:rPr>
          <w:b w:val="0"/>
          <w:sz w:val="24"/>
        </w:rPr>
        <w:t>Em vez de um único ponto de corte, o pico de velocidade foi ainda estratificado por dois limiares — os tercis de sua distribuição (t₁ = 14,4 km/h; t₂ = 15,1 km/h) —, que definem três faixas de aptidão com valor de decisão direto (Tabela 14;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 e oferece à comissão técnica uma referência graduada, e não binária, para individualizar a carga e priorizar a recuperação dos atletas menos aptos. Em termos de escolha entre os dois esquemas, o limiar único é preferível quando se deseja uma decisão binária e parcimoniosa, mais estável em amostras pequenas; a estratificação dupla favorece a individualização graduada, com a ressalva de que o seu ganho se concentra em isolar a faixa de alta aptidão (baixo risco) — nítido para o vigor (18% de dias críticos) e mais modesto para a fadiga, cujas faixas inferior e intermediária pouco se distinguem (47% e 45%). A curva de especificação, de todo modo, indica que a utilidade do limiar não depende do esquema adotado.</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12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12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 ou seja, os atletas menos aptos concentraram mais dias críticos —,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15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120"/>
        <w:ind w:firstLine="709"/>
        <w:jc w:val="both"/>
      </w:pPr>
      <w:r>
        <w:rPr>
          <w:b w:val="0"/>
          <w:sz w:val="24"/>
        </w:rPr>
        <w:t>A sonolência e o estresse percebido, coletados no mesmo diário, tiveram comportamentos distintos ao longo do microciclo (Tabela 15;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16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120"/>
        <w:ind w:firstLine="709"/>
        <w:jc w:val="both"/>
      </w:pPr>
      <w:r>
        <w:rPr>
          <w:b w:val="0"/>
          <w:sz w:val="24"/>
        </w:rPr>
        <w:t>A caracterização da composição corporal (Tabela 16)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17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12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17;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12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 significativa (ρ = -0,50) —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18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120"/>
        <w:ind w:firstLine="709"/>
        <w:jc w:val="both"/>
      </w:pPr>
      <w:r>
        <w:rPr>
          <w:b w:val="0"/>
          <w:sz w:val="24"/>
        </w:rPr>
        <w:t>Para além do contraste bivariado, uma análise de comunalidade e dominância decompôs a variância explicada da fadiga e do vigor entre os três candidatos físicos — aptidão aeróbia, capacidade anaeróbia e massa corporal — e quantificou o que cada um contribui de forma única e o que partilham entre si (Tabela 18).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 e não se atenua — ao controlar o porte, em consonância com o ajuste alométrico. A capacidade anaeróbia, novamente, é irrelevante (0,010). A decomposição, portanto, sustenta quantitativamente que é a aptidão aeróbia — e não a anaeróbia nem a massa —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19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120"/>
        <w:ind w:firstLine="709"/>
        <w:jc w:val="both"/>
      </w:pPr>
      <w:r>
        <w:rPr>
          <w:b w:val="0"/>
          <w:sz w:val="24"/>
        </w:rPr>
        <w:t>Uma questão aplicada relevante é saber quais características do atleta modulam a intensidade da resposta —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 todos os coeficientes de determinação foram baixos (R² &lt; 0,09). O choque afetivo intrassessão comporta-se, portanto, como uma resposta estereotipada, compartilhada pelo grupo.</w:t>
      </w:r>
    </w:p>
    <w:p>
      <w:pPr>
        <w:spacing w:line="360" w:lineRule="auto" w:after="120"/>
        <w:ind w:firstLine="709"/>
        <w:jc w:val="both"/>
      </w:pPr>
      <w:r>
        <w:rPr>
          <w:b w:val="0"/>
          <w:sz w:val="24"/>
        </w:rPr>
        <w:t>O efeito crônico (inclinação semanal) exibiu modulação apenas parcial, restrita ao vigor (Tabela 19; Figura 12). A taxa de acúmulo de fadiga foi praticamente idêntica entre os atletas — nenhum moderador explicou fração relevante de sua variância (R² ≤ 0,02) —,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 sobretudo no eixo da fadiga —, o que reforça o caráter geral e esperado da reação à carga da pré-temporada.</w:t>
      </w:r>
    </w:p>
    <w:p>
      <w:pPr>
        <w:spacing w:before="120" w:after="80" w:line="360" w:lineRule="auto"/>
      </w:pPr>
      <w:r>
        <w:rPr>
          <w:b/>
          <w:sz w:val="24"/>
        </w:rPr>
        <w:t>3.12 Modelo bayesiano multinível: a aptidão modula o nível, não a taxa</w:t>
      </w:r>
    </w:p>
    <w:p>
      <w:pPr>
        <w:spacing w:before="160" w:after="40"/>
      </w:pPr>
      <w:r>
        <w:rPr>
          <w:sz w:val="22"/>
        </w:rPr>
        <w:t>Tabela 20 – Modelo bayesiano multinível do humor com a aptidão aeróbia (pico de velocidade) como preditor de nível 2: efeito sobre o nível (intercepto) e sobre a taxa (interação com o dia). Estimativas a posteriori (média e IC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Desfecho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Aptidão → nível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Aptidão → taxa (× dia)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-0,46 [-0,98; +0,07]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-0,06 [-0,22; +0,11]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+0,80 [-0,34; +2,02]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[-0,16; +0,30]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-1,09 [-3,74; +1,54]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-0,17 [-0,82; +0,46]</w:t>
            </w:r>
          </w:p>
        </w:tc>
      </w:tr>
    </w:tbl>
    <w:p>
      <w:pPr>
        <w:spacing w:after="0"/>
      </w:pPr>
      <w:r>
        <w:rPr>
          <w:i/>
          <w:sz w:val="17"/>
        </w:rPr>
        <w:t>Modelo y = b0 + b1·dia + b2·(pré/pós) + b3·PV + b4·(PV×dia) + interceptos e inclinações aleatórios por atleta; amostrador de Gibbs (semente 2024). n = 276 observações, 25 atletas. IC que exclui zero indica efeito consistente.</w:t>
      </w:r>
    </w:p>
    <w:p>
      <w:pPr>
        <w:spacing w:after="120"/>
      </w:pPr>
      <w:r>
        <w:rPr>
          <w:sz w:val="18"/>
        </w:rPr>
        <w:t>Fonte: dados da pesquisa (2026).</w:t>
      </w:r>
    </w:p>
    <w:p>
      <w:pPr>
        <w:spacing w:line="360" w:lineRule="auto" w:after="120"/>
        <w:ind w:firstLine="709"/>
        <w:jc w:val="both"/>
      </w:pPr>
      <w:r>
        <w:rPr>
          <w:b w:val="0"/>
          <w:sz w:val="24"/>
        </w:rPr>
        <w:t>Para integrar a aptidão fisiológica à trajetória do humor num único arcabouço, ajustou-se um modelo bayesiano multinível com o pico de velocidade como preditor de nível 2, com a separação entre o seu efeito sobre o nível do humor (intercepto) e o seu efeito sobre a taxa de mudança (interação com o dia) (Tabela 20). O padrão foi consistente entre os desfechos: a aptidão deslocou o nível na direção esperada — mais apto, menos fadiga física (-0,46 [-0,98; +0,07]) e mais vigor (+0,80 [-0,34; +2,02]) —, embora os intervalos de credibilidade tocassem o zero, o que reflete a imprecisão de estimar um efeito de nível 2 com 25 atletas. Já a interação aptidão × dia foi claramente nula em todos os desfechos (fadiga -0,06 [-0,22; +0,11]; vigor +0,07 [-0,16; +0,30]; PTH -0,17 [-0,82; +0,46]): a aptidão não modulou a taxa de acúmulo do humor ao longo do microciclo. A leitura que emerge, coerente com a análise de moduladores, é que a aptidão aeróbia atua como um fator de nível — fixa a linha de base do estado afetivo —, e não como um fator de ritmo: a trajetória de deterioração desenrola-se em velocidade comum ao grupo, independentemente da aptidão (McELREATH, 2020).</w:t>
      </w:r>
    </w:p>
    <w:p>
      <w:pPr>
        <w:spacing w:before="200" w:after="80" w:line="360" w:lineRule="auto"/>
      </w:pPr>
      <w:r>
        <w:rPr>
          <w:b/>
          <w:sz w:val="24"/>
        </w:rPr>
        <w:t>4 DISCUSSÃO</w:t>
      </w:r>
    </w:p>
    <w:p>
      <w:pPr>
        <w:spacing w:line="360" w:lineRule="auto" w:after="12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 o que sustenta centrar a leitura fisiológica subsequente no par vigor–fadiga.</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 e não redundante — em relação à leitura fisiológica.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 aptidão, composição corporal, potência, sono, estresse ou carga interna — explicou parcela expressiva da variância, e nenhuma associação resistiu à correção para comparações múltiplas. A taxa de acúmulo de fadiga, em especial, revelou-se homogênea entre os atletas, o que sugere uma resposta obrigatória e comum à carga da pré-temporada —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 e não reservada a subgrupos supostamente mais vulneráveis —, embora o eixo do vigor mereça atenção adicional nos atletas de perfil mais potente.</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 e não a anaeróbia —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12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 pois acelera a recuperação entre as ações e retarda a fadiga —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 de atletas menos aptos sob a mesma carga —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120"/>
        <w:ind w:firstLine="709"/>
        <w:jc w:val="both"/>
      </w:pPr>
      <w:r>
        <w:rPr>
          <w:b w:val="0"/>
          <w:sz w:val="24"/>
        </w:rPr>
        <w:t>A contraposição com a capacidade anaeróbia delimita a especificidade dessa relação. O teste de sprints repetidos (Baker) — um marcador da capacidade de repetir esforços máximos de curta duração —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 não a anaeróbia —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12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 evidência direta de que o aparente vínculo do porte com a fadiga é aptidão aeróbia sob outro nome —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 sempre discutível —,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12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 cuja qualidade de ajuste foi documentada pelo pseudo-R² de McFadden e pelos critérios de informação — sustentou o limiar de pico de velocidade como ferramenta prática de triagem, com preferência pelo preditor na escala bruta, de leitura mais direta para a comissão técnica.</w:t>
      </w:r>
    </w:p>
    <w:p>
      <w:pPr>
        <w:spacing w:line="360" w:lineRule="auto" w:after="12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 um argumento a favor da especificidade do achado.</w:t>
      </w:r>
    </w:p>
    <w:p>
      <w:pPr>
        <w:spacing w:line="360" w:lineRule="auto" w:after="120"/>
        <w:ind w:firstLine="709"/>
        <w:jc w:val="both"/>
      </w:pPr>
      <w:r>
        <w:rPr>
          <w:b w:val="0"/>
          <w:sz w:val="24"/>
        </w:rPr>
        <w:t>Algumas limitações delimitam o alcance dos achados. A primeira é o tamanho amostral (27 atletas), circunscrito a uma única equipe e a um único microciclo: o desenho observacional de fase única não autoriza inferência causal, e as associações entre aptidão e humor são, por natureza, transversais. A segunda é que o limiar de pico de velocidade foi derivado na própria amostra; embora a curva de especificação ateste a sua robustez a escolhas analíticas, o seu desempenho preditivo ainda requer validação externa antes do uso clínico. A terceira, e relevante para a interpretação da dose-resposta, é que a carga interna foi registrada apenas no contexto do teste de campo, e não continuamente ao longo dos sete dias; por isso não foi possível modelar o gradiente dose-resposta intramicrociclo entre a carga diária e o humor, e a leitura da modulação fisiológica restringe-se ao gradiente de exposição pela aptidão (pico de velocidade). A essas somam-se limitações de mensuração já assinaladas: o efeito de piso das dimensões negativas, a referência dos escores T à própria amostra (e não a normas nacionais), a versão de 6 itens do Epworth (sem ponto de corte clínico validado) e a PSS-14, cujo horizonte excede o microciclo — razão pela qual sonolência e estresse foram lidos por média semanal, e não por flutuação diária. Convém, ainda, a cautela já apontada quanto ao índice de fadiga do teste de sprints repetidos, de confiabilidade limitada.</w:t>
      </w:r>
    </w:p>
    <w:p>
      <w:pPr>
        <w:spacing w:line="360" w:lineRule="auto" w:after="120"/>
        <w:ind w:firstLine="709"/>
        <w:jc w:val="both"/>
      </w:pPr>
      <w:r>
        <w:rPr>
          <w:b w:val="0"/>
          <w:sz w:val="24"/>
        </w:rPr>
        <w:t>Essas limitações, porém, são atenuadas pela convergência das evidências, o que preserva a validade da conclusão central sobre a especificidade aeróbia. Três abordagens independentes — correlação parcial com controle da massa, ajuste alométrico e análise de comunalidade — apontam para o mesmo resultado, e a curva de especificação mostra que ele não depende de uma escolha particular de corte; a própria ausência de gradiente entre a carga interna do teste e o humor foi reportada de forma transparente, sem sobreinterpretação. Assim, embora a magnitude dos coeficientes deva ser lida com a cautela que o tamanho amostral impõe, a direção e a especificidade do achado sustentam-se sob múltiplas lentes analíticas. Como direções futuras, recomenda-se ampliar a amostra e acompanhar múltiplos microciclos, integrar o humor a marcadores de carga externa e interna mensurados continuamente — o que habilitaria o gradiente dose-resposta aqui inviável —, adotar tabelas normativas e agrupamento semeado (seeded k-means) para a classificação de perfis, validar externamente os limiares de pico de velocidade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 e o seu vínculo aparente decorria do porte corporal —,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 que combine o humor, a aptidão aeróbia e marcadores de recuperação — centrado no eixo energia–fadiga.</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a dinâmica do humor e a modelagem das trajetórias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