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b"/>
          <w:sz w:val="40"/>
          <w:szCs w:val="40"/>
        </w:rPr>
        <w:t xml:space="preserve">TRIANGULAÇÃO DOS RESULTADOS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1b6ec2"/>
          <w:sz w:val="24"/>
          <w:szCs w:val="24"/>
        </w:rPr>
        <w:t xml:space="preserve">Sensibilidade e resposta do humor, da sonolência e do estresse aos estímulos de um microciclo de pré-temporada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6b80"/>
          <w:sz w:val="20"/>
          <w:szCs w:val="20"/>
        </w:rPr>
        <w:t xml:space="preserve">Monitoramento do estado de humor (BRUMS) de </w:t>
      </w:r>
      <w:r>
        <w:rPr>
          <w:rFonts w:ascii="Calibri" w:cs="Calibri" w:eastAsia="Calibri" w:hAnsi="Calibri"/>
          <w:b/>
          <w:bCs/>
          <w:color w:val="5a6b80"/>
          <w:sz w:val="20"/>
          <w:szCs w:val="20"/>
        </w:rPr>
        <w:t xml:space="preserve">27 atletas</w:t>
      </w:r>
      <w:r>
        <w:rPr>
          <w:rFonts w:ascii="Calibri" w:cs="Calibri" w:eastAsia="Calibri" w:hAnsi="Calibri"/>
          <w:color w:val="5a6b80"/>
          <w:sz w:val="20"/>
          <w:szCs w:val="20"/>
        </w:rPr>
        <w:t xml:space="preserve"> de handebol de alto rendimento ao longo de </w:t>
      </w:r>
      <w:r>
        <w:rPr>
          <w:rFonts w:ascii="Calibri" w:cs="Calibri" w:eastAsia="Calibri" w:hAnsi="Calibri"/>
          <w:b/>
          <w:bCs/>
          <w:color w:val="5a6b80"/>
          <w:sz w:val="20"/>
          <w:szCs w:val="20"/>
        </w:rPr>
        <w:t xml:space="preserve">7 dias</w:t>
      </w:r>
      <w:r>
        <w:rPr>
          <w:rFonts w:ascii="Calibri" w:cs="Calibri" w:eastAsia="Calibri" w:hAnsi="Calibri"/>
          <w:color w:val="5a6b80"/>
          <w:sz w:val="20"/>
          <w:szCs w:val="20"/>
        </w:rPr>
        <w:t xml:space="preserve">, com </w:t>
      </w:r>
      <w:r>
        <w:rPr>
          <w:rFonts w:ascii="Calibri" w:cs="Calibri" w:eastAsia="Calibri" w:hAnsi="Calibri"/>
          <w:b/>
          <w:bCs/>
          <w:color w:val="5a6b80"/>
          <w:sz w:val="20"/>
          <w:szCs w:val="20"/>
        </w:rPr>
        <w:t xml:space="preserve">456 observações</w:t>
      </w:r>
      <w:r>
        <w:rPr>
          <w:rFonts w:ascii="Calibri" w:cs="Calibri" w:eastAsia="Calibri" w:hAnsi="Calibri"/>
          <w:color w:val="5a6b80"/>
          <w:sz w:val="20"/>
          <w:szCs w:val="20"/>
        </w:rPr>
        <w:t xml:space="preserve"> pareadas por atleta</w:t>
      </w:r>
    </w:p>
    <w:p>
      <w:pPr>
        <w:spacing w:after="350"/>
        <w:jc w:val="center"/>
      </w:pPr>
      <w:r>
        <w:rPr>
          <w:rFonts w:ascii="Calibri" w:cs="Calibri" w:eastAsia="Calibri" w:hAnsi="Calibri"/>
          <w:color w:val="5a6b80"/>
          <w:sz w:val="19"/>
          <w:szCs w:val="19"/>
        </w:rPr>
        <w:t xml:space="preserve">Análise descritiva robusta, segmentação por variável e triangulação metodológica</w:t>
      </w:r>
    </w:p>
    <w:p>
      <w:pPr>
        <w:pBdr>
          <w:top w:val="single" w:color="c9d2dd" w:sz="6"/>
          <w:bottom w:val="single" w:color="c9d2dd" w:sz="6"/>
        </w:pBdr>
        <w:spacing w:after="500"/>
        <w:jc w:val="center"/>
      </w:pP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1   Introdução e objetivo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acompanhamento diário do estado de humor por meio da Escala de Humor de Brunel (BRUMS) oferece uma janela sensível para o modo como o atleta responde à carga de treino. Durante um microciclo de pré-temporada, o organismo alterna sessões de alta intensidade intervalada (HIIT) com jogos amistosos, tarefas de força e dias de recuperação relativa. Cada estímulo impõe demandas distintas, e o humor funciona como um marcador precoce dessas demandas, muitas vezes antes que indicadores fisiológicos se tornem evidentes.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Este relatório persegue uma pergunta central: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quais variáveis do humor, da sonolência e do estresse mais respondem a cada estímulo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(HIIT e jogo amistoso), de que maneira essas medidas se comportam ao longo da semana e como os novos perfis de humor se conectam à sonolência e ao estresse nos dias de maior demanda. Para responder com segurança, o estudo recorre à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triangulação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: em vez de confiar em um único teste, cruza métodos independentes (efeitos agudos pareados, contrastes entre tipos de dia, coeficientes de variação, confiabilidade entre dias, classificação de perfis e comparações entre grupos). Quando caminhos analíticos distintos convergem para a mesma direção, o achado adquire robustez; quando um resultado isolado não resiste à correção por múltiplas comparações, o texto o trata como tendência, sem exagero interpretativo.</w:t>
      </w:r>
    </w:p>
    <w:p>
      <w:pPr>
        <w:pBdr>
          <w:left w:val="single" w:color="1b6ec2" w:sz="18" w:space="12"/>
        </w:pBdr>
        <w:spacing w:after="160" w:before="120" w:line="288"/>
        <w:ind w:left="200"/>
      </w:pPr>
      <w:r>
        <w:rPr>
          <w:rFonts w:ascii="Calibri" w:cs="Calibri" w:eastAsia="Calibri" w:hAnsi="Calibri"/>
          <w:color w:val="1a2230"/>
          <w:sz w:val="20"/>
          <w:szCs w:val="20"/>
        </w:rPr>
        <w:t xml:space="preserve">A triangulação não busca um veredito único. Ela procura o </w:t>
      </w:r>
      <w:r>
        <w:rPr>
          <w:rFonts w:ascii="Calibri" w:cs="Calibri" w:eastAsia="Calibri" w:hAnsi="Calibri"/>
          <w:b/>
          <w:bCs/>
          <w:color w:val="1a2230"/>
          <w:sz w:val="20"/>
          <w:szCs w:val="20"/>
        </w:rPr>
        <w:t xml:space="preserve">padrão que sobrevive a vários olhares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, o que reduz o risco de confundir ruído amostral com sinal verdadeiro.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2   Delineamento, medidas e estratégia estatística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amostra reúne 27 atletas do sexo masculino, todos integrantes do mesmo elenco, avaliados em 7 dias consecutivos de um microciclo de pré-temporada. Cada dia recebeu uma classificação de estímulo: linha de base (D1), HIIT (D2, D4 e D7), jogo amistoso (D3 e D5) e força (D6). O humor foi medido pela BRUMS em seis dimensões (tensão, depressão, raiva, vigor, fadiga e confusão), das quais derivam a fadiga física, a perturbação total do humor (PTH) e o próprio perfil. A sonolência diurna foi captada pela Escala de Sonolência de Epworth e o estresse percebido pela Perceived Stress Scale (PSS).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Em cada dia, a primeira resposta representa o estado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pré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e a última representa o estado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pós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o que viabiliza a leitura do efeito agudo intra-dia. A estatística acompanha a natureza pareada e não normal dos escores: o teste de Wilcoxon avalia as mudanças pré para pós, com o tamanho de efeito dz de Cohen para medidas repetidas; o contraste entre HIIT e jogo compara as médias por atleta e corrige oito testes simultâneos pelo procedimento de Benjamini-Hochberg (FDR); a confiabilidade entre dias apoia-se no coeficiente de correlação intraclasse ICC(A,1) e ICC(A,k); os grupos de perfil são comparados pelo teste de Kruskal-Wallis; as associações entre variáveis empregam a correlação de Spearman no nível do atleta, o que evita pseudorreplicação.</w:t>
      </w:r>
    </w:p>
    <w:p>
      <w:pPr>
        <w:pBdr>
          <w:left w:val="single" w:color="b0862a" w:sz="18" w:space="12"/>
        </w:pBdr>
        <w:spacing w:after="160" w:before="120" w:line="288"/>
        <w:ind w:left="200"/>
      </w:pPr>
      <w:r>
        <w:rPr>
          <w:rFonts w:ascii="Calibri" w:cs="Calibri" w:eastAsia="Calibri" w:hAnsi="Calibri"/>
          <w:color w:val="1a2230"/>
          <w:sz w:val="20"/>
          <w:szCs w:val="20"/>
        </w:rPr>
        <w:t xml:space="preserve">O estudo trabalha com </w:t>
      </w:r>
      <w:r>
        <w:rPr>
          <w:rFonts w:ascii="Calibri" w:cs="Calibri" w:eastAsia="Calibri" w:hAnsi="Calibri"/>
          <w:b/>
          <w:bCs/>
          <w:color w:val="1a2230"/>
          <w:sz w:val="20"/>
          <w:szCs w:val="20"/>
        </w:rPr>
        <w:t xml:space="preserve">grupo único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 (todos os atletas recebem os mesmos estímulos), sem grupo controle. Por essa razão, as leituras têm caráter </w:t>
      </w:r>
      <w:r>
        <w:rPr>
          <w:rFonts w:ascii="Calibri" w:cs="Calibri" w:eastAsia="Calibri" w:hAnsi="Calibri"/>
          <w:b/>
          <w:bCs/>
          <w:color w:val="1a2230"/>
          <w:sz w:val="20"/>
          <w:szCs w:val="20"/>
        </w:rPr>
        <w:t xml:space="preserve">descritivo e de rastreio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, e não estabelecem relações causais. A magnitude do efeito segue a convenção usual: trivial (dz &lt; 0,20), pequeno (0,20 a 0,49), médio (0,50 a 0,79) e grande (≥ 0,80).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3   Análise descritiva do estado de humor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leitura descritiva estabelece o ponto de partida. A Tabela 1 resume cada dimensão pela média, pelo desvio padrão, pela amplitude observada e pelo coeficiente de variação (CV), que expressa a dispersão relativa ao redor da média.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2600"/>
        <w:gridCol w:w="1400"/>
        <w:gridCol w:w="1400"/>
        <w:gridCol w:w="1810"/>
        <w:gridCol w:w="1810"/>
      </w:tblGrid>
      <w:tr>
        <w:trPr>
          <w:tblHeader/>
        </w:trPr>
        <w:tc>
          <w:tcPr>
            <w:tcW w:type="dxa" w:w="26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4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</w:t>
            </w:r>
          </w:p>
        </w:tc>
        <w:tc>
          <w:tcPr>
            <w:tcW w:type="dxa" w:w="18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Amplitude</w:t>
            </w:r>
          </w:p>
        </w:tc>
        <w:tc>
          <w:tcPr>
            <w:tcW w:type="dxa" w:w="18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5,7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3,1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0–15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5,6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3,9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0–16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1,4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1,8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0–8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129%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1,0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2,3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0–16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230%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1,6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2,7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0–15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169%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0,5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1,2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0–9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240%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PTH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4,4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9,6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−12–52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218%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1.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Estatística descritiva das dimensões do humor (escores BRUMS, 0 a 16).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Dois padrões saltam à vista. De um lado, as dimensões de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ativação e fadiga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(vigor, fadiga e a fadiga física derivada) apresentam médias intermediárias e dispersão relativa contida, o que as torna leituras estáveis e confiáveis. De outro, as dimensões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negativas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(tensão, depressão, raiva e confusão) exibem médias baixas e desvios amplos: muitos atletas pontuam próximo de zero em vários dias, e essa concentração no piso amplia o CV, ainda que a oscilação absoluta seja modesta. A PTH, por combinar todas as dimensões, ocupa uma posição intermediária e resume o clima afetivo do grupo.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trajetória semanal (Figura 1) traduz esse retrato estático em movimento. O vigor decresce de forma quase monotônica ao longo do microciclo, enquanto a fadiga sobe no sentido oposto; as duas curvas se cruzam por volta do quarto dia, marco clássico do acúmulo de carga. A PTH descreve um padrão em zigue-zague que merece destaque: eleva-se nos dias de HIIT (D2 e D4), recua nos dias de jogo (D3 e D5) e dispara no fechamento da semana (D7). Os pontos de inflexão assinalados na figura evidenciam que a perturbação do humor não cresce de modo uniforme, mas responde ao tipo de estímulo de cada dia.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Figura 1.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Trajetória diária do vigor, da fadiga, da tensão e da PTH ao longo do microciclo. Círculos vazados assinalam pontos de inflexão (máximos e mínimos locais). O rótulo de cada dia indica o tipo de estímulo.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4   Variação e confiabilidade por variável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utilidade de um marcador para monitorar carga depende de duas propriedades: variação suficiente para captar mudanças reais e estabilidade suficiente para que a leitura seja reprodutível. A Tabela 2 decompõe o coeficiente de variação em vários recortes e acrescenta o ICC(A,1), que quantifica a concordância entre os dias da semana.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Os recortes do CV respondem à pergunta sobre onde a variabilidade se concentra.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CV intra-dia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compara a primeira e a última resposta do mesmo atleta no mesmo dia;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CV pré e pós do dia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contrasta a dispersão no início e no fim da jornada;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CV pré e pós da semana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confronta o primeiro dia (D1) com o último (D7); e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CV da semana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mede a oscilação das médias diárias do grupo.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1560"/>
        <w:gridCol w:w="900"/>
        <w:gridCol w:w="1000"/>
        <w:gridCol w:w="1120"/>
        <w:gridCol w:w="1360"/>
        <w:gridCol w:w="1360"/>
        <w:gridCol w:w="900"/>
        <w:gridCol w:w="820"/>
      </w:tblGrid>
      <w:tr>
        <w:trPr>
          <w:tblHeader/>
        </w:trPr>
        <w:tc>
          <w:tcPr>
            <w:tcW w:type="dxa" w:w="15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 total</w:t>
            </w:r>
          </w:p>
        </w:tc>
        <w:tc>
          <w:tcPr>
            <w:tcW w:type="dxa" w:w="112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 intra-dia</w:t>
            </w:r>
          </w:p>
        </w:tc>
        <w:tc>
          <w:tcPr>
            <w:tcW w:type="dxa" w:w="13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 pré/pós dia</w:t>
            </w:r>
          </w:p>
        </w:tc>
        <w:tc>
          <w:tcPr>
            <w:tcW w:type="dxa" w:w="13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 pré/pós sem.</w:t>
            </w:r>
          </w:p>
        </w:tc>
        <w:tc>
          <w:tcPr>
            <w:tcW w:type="dxa" w:w="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 sem.</w:t>
            </w:r>
          </w:p>
        </w:tc>
        <w:tc>
          <w:tcPr>
            <w:tcW w:type="dxa" w:w="82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ICC(A,1)</w:t>
            </w:r>
          </w:p>
        </w:tc>
      </w:tr>
      <w:tr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5,70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55%</w:t>
            </w:r>
          </w:p>
        </w:tc>
        <w:tc>
          <w:tcPr>
            <w:tcW w:type="dxa" w:w="11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36%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55 / 61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48 / 61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16%</w:t>
            </w:r>
          </w:p>
        </w:tc>
        <w:tc>
          <w:tcPr>
            <w:tcW w:type="dxa" w:w="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0,57</w:t>
            </w:r>
          </w:p>
        </w:tc>
      </w:tr>
      <w:tr>
        <w:tc>
          <w:tcPr>
            <w:tcW w:type="dxa" w:w="15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5,64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69%</w:t>
            </w:r>
          </w:p>
        </w:tc>
        <w:tc>
          <w:tcPr>
            <w:tcW w:type="dxa" w:w="11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43%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82 / 70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85 / 60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20%</w:t>
            </w:r>
          </w:p>
        </w:tc>
        <w:tc>
          <w:tcPr>
            <w:tcW w:type="dxa" w:w="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0,69</w:t>
            </w:r>
          </w:p>
        </w:tc>
      </w:tr>
      <w:tr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 física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6,12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38%</w:t>
            </w:r>
          </w:p>
        </w:tc>
        <w:tc>
          <w:tcPr>
            <w:tcW w:type="dxa" w:w="11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26%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46 / 37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52 / 27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17%</w:t>
            </w:r>
          </w:p>
        </w:tc>
        <w:tc>
          <w:tcPr>
            <w:tcW w:type="dxa" w:w="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0,54</w:t>
            </w:r>
          </w:p>
        </w:tc>
      </w:tr>
      <w:tr>
        <w:tc>
          <w:tcPr>
            <w:tcW w:type="dxa" w:w="15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1,39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132%</w:t>
            </w:r>
          </w:p>
        </w:tc>
        <w:tc>
          <w:tcPr>
            <w:tcW w:type="dxa" w:w="11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58%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134 / 124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114 / 163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18%</w:t>
            </w:r>
          </w:p>
        </w:tc>
        <w:tc>
          <w:tcPr>
            <w:tcW w:type="dxa" w:w="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0,67</w:t>
            </w:r>
          </w:p>
        </w:tc>
      </w:tr>
      <w:tr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1,00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231%</w:t>
            </w:r>
          </w:p>
        </w:tc>
        <w:tc>
          <w:tcPr>
            <w:tcW w:type="dxa" w:w="11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111%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236 / 224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217 / 295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27%</w:t>
            </w:r>
          </w:p>
        </w:tc>
        <w:tc>
          <w:tcPr>
            <w:tcW w:type="dxa" w:w="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8"/>
                <w:szCs w:val="18"/>
              </w:rPr>
              <w:t xml:space="preserve">0,79</w:t>
            </w:r>
          </w:p>
        </w:tc>
      </w:tr>
      <w:tr>
        <w:tc>
          <w:tcPr>
            <w:tcW w:type="dxa" w:w="15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1,60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170%</w:t>
            </w:r>
          </w:p>
        </w:tc>
        <w:tc>
          <w:tcPr>
            <w:tcW w:type="dxa" w:w="11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103%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179 / 169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169 / 164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34%</w:t>
            </w:r>
          </w:p>
        </w:tc>
        <w:tc>
          <w:tcPr>
            <w:tcW w:type="dxa" w:w="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18"/>
                <w:szCs w:val="18"/>
              </w:rPr>
              <w:t xml:space="preserve">0,37</w:t>
            </w:r>
          </w:p>
        </w:tc>
      </w:tr>
      <w:tr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0,45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263%</w:t>
            </w:r>
          </w:p>
        </w:tc>
        <w:tc>
          <w:tcPr>
            <w:tcW w:type="dxa" w:w="11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125%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238 / 240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174 / 345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52%</w:t>
            </w:r>
          </w:p>
        </w:tc>
        <w:tc>
          <w:tcPr>
            <w:tcW w:type="dxa" w:w="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0,50</w:t>
            </w:r>
          </w:p>
        </w:tc>
      </w:tr>
      <w:tr>
        <w:tc>
          <w:tcPr>
            <w:tcW w:type="dxa" w:w="15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PTH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4,39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220%</w:t>
            </w:r>
          </w:p>
        </w:tc>
        <w:tc>
          <w:tcPr>
            <w:tcW w:type="dxa" w:w="11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8%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331 / 179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447 / 151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48%</w:t>
            </w:r>
          </w:p>
        </w:tc>
        <w:tc>
          <w:tcPr>
            <w:tcW w:type="dxa" w:w="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62a"/>
                <w:sz w:val="18"/>
                <w:szCs w:val="18"/>
              </w:rPr>
              <w:t xml:space="preserve">0,71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2.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Coeficiente de variação (%) em quatro recortes e confiabilidade entre dias. Cores do ICC: verde ≥ 0,75 (substancial), âmbar 0,50 a 0,74 (moderado), vermelho &lt; 0,50 (fraco).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reúne o melhor conjunto de propriedades para monitorar carga: apresenta o menor CV total, dispersão intra-dia contida e confiabilidade apreciável entre dias. Por reunir estabilidade e reprodutibilidade, ela se firma como o indicador mais indicado para dosar a carga interna do treino. A fadiga e o vigor a acompanham de perto, com CV moderado e ICC substancial.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As dimensões negativas revelam o efeito oposto. Depressão, confusão e raiva ostentam CV elevado justamente por partirem de valores baixos, condição na qual pequenas variações absolutas se traduzem em grandes variações relativas. Esse comportamento reduz a leitura individual dia a dia e recomenda o uso dessas dimensões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em conjunto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seja pela PTH, seja pela classificação de perfil. A PTH ilustra bem a distinção entre os recortes: mantém CV intra-dia mínimo, o que a torna estável dentro do dia, mas exibe CV semanal alto, sinal de que responde com nitidez à progressão da carga ao longo dos sete dias.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2600"/>
        <w:gridCol w:w="1810"/>
        <w:gridCol w:w="1810"/>
        <w:gridCol w:w="2800"/>
      </w:tblGrid>
      <w:tr>
        <w:trPr>
          <w:tblHeader/>
        </w:trPr>
        <w:tc>
          <w:tcPr>
            <w:tcW w:type="dxa" w:w="26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8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ICC(A,1)</w:t>
            </w:r>
          </w:p>
        </w:tc>
        <w:tc>
          <w:tcPr>
            <w:tcW w:type="dxa" w:w="18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ICC(A,k)</w:t>
            </w:r>
          </w:p>
        </w:tc>
        <w:tc>
          <w:tcPr>
            <w:tcW w:type="dxa" w:w="28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0,57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0,90</w:t>
            </w:r>
          </w:p>
        </w:tc>
        <w:tc>
          <w:tcPr>
            <w:tcW w:type="dxa" w:w="2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0,69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0,94</w:t>
            </w:r>
          </w:p>
        </w:tc>
        <w:tc>
          <w:tcPr>
            <w:tcW w:type="dxa" w:w="2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boa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0,67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0,93</w:t>
            </w:r>
          </w:p>
        </w:tc>
        <w:tc>
          <w:tcPr>
            <w:tcW w:type="dxa" w:w="2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boa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0,79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0,96</w:t>
            </w:r>
          </w:p>
        </w:tc>
        <w:tc>
          <w:tcPr>
            <w:tcW w:type="dxa" w:w="2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boa</w:t>
            </w:r>
          </w:p>
        </w:tc>
      </w:tr>
      <w:tr>
        <w:tc>
          <w:tcPr>
            <w:tcW w:type="dxa" w:w="2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0,37</w:t>
            </w:r>
          </w:p>
        </w:tc>
        <w:tc>
          <w:tcPr>
            <w:tcW w:type="dxa" w:w="1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0,81</w:t>
            </w:r>
          </w:p>
        </w:tc>
        <w:tc>
          <w:tcPr>
            <w:tcW w:type="dxa" w:w="2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pobre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0,50</w:t>
            </w:r>
          </w:p>
        </w:tc>
        <w:tc>
          <w:tcPr>
            <w:tcW w:type="dxa" w:w="1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0,87</w:t>
            </w:r>
          </w:p>
        </w:tc>
        <w:tc>
          <w:tcPr>
            <w:tcW w:type="dxa" w:w="2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pobre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3.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Confiabilidade entre dias por dimensão do humor. ICC(A,1) refere-se a uma medida isolada; ICC(A,k) refere-se à média da semana.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leitura conjunta das duas tabelas de confiabilidade reforça a conclusão. Uma única medida diária já oferece concordância moderada a substancial para a maioria das dimensões, e a média semanal, expressa pelo ICC(A,k), eleva de forma expressiva essa concordância. Em termos práticos, uma leitura pontual serve para o alerta imediato, ao passo que a média de vários dias entrega uma estimativa muito mais fiel do estado do atleta.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5   Resposta aguda pré para pós, por tipo de dia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resposta aguda mede o quanto o estado do atleta se altera entre o início e o fim do dia. A Tabela 4 apresenta o efeito pré para pós de cada dimensão no conjunto da amostra, com o valor de p do teste de Wilcoxon, o tamanho de efeito dz e a respectiva magnitude.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1820"/>
        <w:gridCol w:w="1000"/>
        <w:gridCol w:w="1000"/>
        <w:gridCol w:w="900"/>
        <w:gridCol w:w="1600"/>
        <w:gridCol w:w="900"/>
        <w:gridCol w:w="1800"/>
      </w:tblGrid>
      <w:tr>
        <w:trPr>
          <w:tblHeader/>
        </w:trPr>
        <w:tc>
          <w:tcPr>
            <w:tcW w:type="dxa" w:w="182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0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</w:t>
            </w:r>
          </w:p>
        </w:tc>
        <w:tc>
          <w:tcPr>
            <w:tcW w:type="dxa" w:w="10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Pós</w:t>
            </w:r>
          </w:p>
        </w:tc>
        <w:tc>
          <w:tcPr>
            <w:tcW w:type="dxa" w:w="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Δ%</w:t>
            </w:r>
          </w:p>
        </w:tc>
        <w:tc>
          <w:tcPr>
            <w:tcW w:type="dxa" w:w="16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 (Wilcoxon)</w:t>
            </w:r>
          </w:p>
        </w:tc>
        <w:tc>
          <w:tcPr>
            <w:tcW w:type="dxa" w:w="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dz</w:t>
            </w:r>
          </w:p>
        </w:tc>
        <w:tc>
          <w:tcPr>
            <w:tcW w:type="dxa" w:w="18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Magnitude</w:t>
            </w:r>
          </w:p>
        </w:tc>
      </w:tr>
      <w:tr>
        <w:tc>
          <w:tcPr>
            <w:tcW w:type="dxa" w:w="1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6,22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5,38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-14%</w:t>
            </w:r>
          </w:p>
        </w:tc>
        <w:tc>
          <w:tcPr>
            <w:tcW w:type="dxa" w:w="1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0,010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-0,56</w:t>
            </w:r>
          </w:p>
        </w:tc>
        <w:tc>
          <w:tcPr>
            <w:tcW w:type="dxa" w:w="1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4,50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5,81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+29%</w:t>
            </w:r>
          </w:p>
        </w:tc>
        <w:tc>
          <w:tcPr>
            <w:tcW w:type="dxa" w:w="1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0,003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+0,63</w:t>
            </w:r>
          </w:p>
        </w:tc>
        <w:tc>
          <w:tcPr>
            <w:tcW w:type="dxa" w:w="1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1,44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1,64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+14%</w:t>
            </w:r>
          </w:p>
        </w:tc>
        <w:tc>
          <w:tcPr>
            <w:tcW w:type="dxa" w:w="1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0,061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+0,40</w:t>
            </w:r>
          </w:p>
        </w:tc>
        <w:tc>
          <w:tcPr>
            <w:tcW w:type="dxa" w:w="1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</w:tr>
      <w:tr>
        <w:tc>
          <w:tcPr>
            <w:tcW w:type="dxa" w:w="1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0,96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1,24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+30%</w:t>
            </w:r>
          </w:p>
        </w:tc>
        <w:tc>
          <w:tcPr>
            <w:tcW w:type="dxa" w:w="1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0,116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+0,32</w:t>
            </w:r>
          </w:p>
        </w:tc>
        <w:tc>
          <w:tcPr>
            <w:tcW w:type="dxa" w:w="1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</w:tr>
      <w:tr>
        <w:tc>
          <w:tcPr>
            <w:tcW w:type="dxa" w:w="1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1,38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1,66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+20%</w:t>
            </w:r>
          </w:p>
        </w:tc>
        <w:tc>
          <w:tcPr>
            <w:tcW w:type="dxa" w:w="1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0,353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+0,23</w:t>
            </w:r>
          </w:p>
        </w:tc>
        <w:tc>
          <w:tcPr>
            <w:tcW w:type="dxa" w:w="1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</w:tr>
      <w:tr>
        <w:tc>
          <w:tcPr>
            <w:tcW w:type="dxa" w:w="18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0,51</w:t>
            </w:r>
          </w:p>
        </w:tc>
        <w:tc>
          <w:tcPr>
            <w:tcW w:type="dxa" w:w="10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0,48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-5%</w:t>
            </w:r>
          </w:p>
        </w:tc>
        <w:tc>
          <w:tcPr>
            <w:tcW w:type="dxa" w:w="16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0,604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-0,07</w:t>
            </w:r>
          </w:p>
        </w:tc>
        <w:tc>
          <w:tcPr>
            <w:tcW w:type="dxa" w:w="1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trivial</w:t>
            </w:r>
          </w:p>
        </w:tc>
      </w:tr>
      <w:tr>
        <w:tc>
          <w:tcPr>
            <w:tcW w:type="dxa" w:w="18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PTH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2,57</w:t>
            </w:r>
          </w:p>
        </w:tc>
        <w:tc>
          <w:tcPr>
            <w:tcW w:type="dxa" w:w="10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5,46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+112%</w:t>
            </w:r>
          </w:p>
        </w:tc>
        <w:tc>
          <w:tcPr>
            <w:tcW w:type="dxa" w:w="16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0,007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+0,62</w:t>
            </w:r>
          </w:p>
        </w:tc>
        <w:tc>
          <w:tcPr>
            <w:tcW w:type="dxa" w:w="1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médio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4.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Efeito agudo intra-dia (média pré e pós de todos os atleta-dias), no conjunto da amostra.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panorama geral confirma o custo agudo do treino: a fadiga e a fadiga física sobem de maneira consistente entre o início e o fim do dia, ao passo que o vigor recua. A PTH acompanha essa deterioração, o que sinaliza uma piora global do humor ao longo da jornada. As dimensões negativas ensaiam altas de menor porte, coerentes com um desconforto afetivo discreto.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passo seguinte separa esse efeito agudo por tipo de estímulo (Figura 2). A distinção é reveladora. No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jogo amistoso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a assinatura é quase pura fadiga: a fadiga física dispara, o vigor cede um pouco, mas as dimensões negativas praticamente não se movem. No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HIIT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ao custo físico soma-se um componente afetivo: além da fadiga física, aparecem elevações de tensão, de PTH e das negativas. O maior efeito agudo isolado de toda a série é o da fadiga física no HIIT, de magnitude grande, seguido pela fadiga física no jogo, de magnitude média.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Figura 2.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Tamanho de efeito agudo (dz, pré para pós) de cada dimensão no HIIT e no jogo amistoso. Valores acima de zero indicam piora (mais fadiga ou mais afeto negativo); abaixo de zero, queda de vigor.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2620"/>
        <w:gridCol w:w="2130"/>
        <w:gridCol w:w="2130"/>
        <w:gridCol w:w="2140"/>
      </w:tblGrid>
      <w:tr>
        <w:trPr>
          <w:tblHeader/>
        </w:trPr>
        <w:tc>
          <w:tcPr>
            <w:tcW w:type="dxa" w:w="262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213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HIIT (dz)</w:t>
            </w:r>
          </w:p>
        </w:tc>
        <w:tc>
          <w:tcPr>
            <w:tcW w:type="dxa" w:w="213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 (dz)</w:t>
            </w:r>
          </w:p>
        </w:tc>
        <w:tc>
          <w:tcPr>
            <w:tcW w:type="dxa" w:w="214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Outro (dz)</w:t>
            </w:r>
          </w:p>
        </w:tc>
      </w:tr>
      <w:tr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-0,36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-0,15</w:t>
            </w:r>
          </w:p>
        </w:tc>
        <w:tc>
          <w:tcPr>
            <w:tcW w:type="dxa" w:w="21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-0,79 *</w:t>
            </w:r>
          </w:p>
        </w:tc>
      </w:tr>
      <w:tr>
        <w:tc>
          <w:tcPr>
            <w:tcW w:type="dxa" w:w="26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+0,63 *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+0,32</w:t>
            </w:r>
          </w:p>
        </w:tc>
        <w:tc>
          <w:tcPr>
            <w:tcW w:type="dxa" w:w="214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+0,54 *</w:t>
            </w:r>
          </w:p>
        </w:tc>
      </w:tr>
      <w:tr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 física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+1,00 *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+0,58 *</w:t>
            </w:r>
          </w:p>
        </w:tc>
        <w:tc>
          <w:tcPr>
            <w:tcW w:type="dxa" w:w="21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+0,77 *</w:t>
            </w:r>
          </w:p>
        </w:tc>
      </w:tr>
      <w:tr>
        <w:tc>
          <w:tcPr>
            <w:tcW w:type="dxa" w:w="26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+0,33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+0,21</w:t>
            </w:r>
          </w:p>
        </w:tc>
        <w:tc>
          <w:tcPr>
            <w:tcW w:type="dxa" w:w="214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+0,18</w:t>
            </w:r>
          </w:p>
        </w:tc>
      </w:tr>
      <w:tr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-0,02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+0,11</w:t>
            </w:r>
          </w:p>
        </w:tc>
        <w:tc>
          <w:tcPr>
            <w:tcW w:type="dxa" w:w="21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+0,43 *</w:t>
            </w:r>
          </w:p>
        </w:tc>
      </w:tr>
      <w:tr>
        <w:tc>
          <w:tcPr>
            <w:tcW w:type="dxa" w:w="26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+0,12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-0,07</w:t>
            </w:r>
          </w:p>
        </w:tc>
        <w:tc>
          <w:tcPr>
            <w:tcW w:type="dxa" w:w="214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+0,52 *</w:t>
            </w:r>
          </w:p>
        </w:tc>
      </w:tr>
      <w:tr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+0,11</w:t>
            </w:r>
          </w:p>
        </w:tc>
        <w:tc>
          <w:tcPr>
            <w:tcW w:type="dxa" w:w="213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-0,39 *</w:t>
            </w:r>
          </w:p>
        </w:tc>
        <w:tc>
          <w:tcPr>
            <w:tcW w:type="dxa" w:w="21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+0,11</w:t>
            </w:r>
          </w:p>
        </w:tc>
      </w:tr>
      <w:tr>
        <w:tc>
          <w:tcPr>
            <w:tcW w:type="dxa" w:w="262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PTH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+0,52 *</w:t>
            </w:r>
          </w:p>
        </w:tc>
        <w:tc>
          <w:tcPr>
            <w:tcW w:type="dxa" w:w="213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+0,15</w:t>
            </w:r>
          </w:p>
        </w:tc>
        <w:tc>
          <w:tcPr>
            <w:tcW w:type="dxa" w:w="214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+0,78 *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5.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Efeito agudo dz por tipo de dia. O asterisco (*) marca p &lt; 0,05 no teste de Wilcoxon pareado por atleta.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Tabela 5 detalha esses efeitos e acrescenta os dias de outra natureza (linha de base e força). A fadiga física alcança significância nos três contextos, prova de que responde a qualquer demanda. O vigor cai de modo significativo nos dias de outra natureza, quando o repouso relativo evidencia o desgaste acumulado. Já a PTH atinge significância no HIIT, o que a confirma como termômetro sensível do estímulo intervalado.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6   Contraste direto entre HIIT e jogo amistoso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Se o efeito agudo mostra o que acontece dentro de cada dia, o contraste direto responde a uma pergunta complementar: qual estímulo pesa mais sobre cada dimensão? A Figura 3 ordena as dimensões pela diferença padronizada entre a média no HIIT e a média no jogo, calculada com pareamento por atleta. Valores positivos apontam escores maiores no HIIT.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Figura 3.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Contraste HIIT menos jogo (dz), pareado por atleta. Em laranja, as dimensões com p &lt; 0,05 nominal; em cinza, as demais. Nenhuma diferença sobrevive à correção por FDR (oito testes).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1760"/>
        <w:gridCol w:w="1300"/>
        <w:gridCol w:w="1300"/>
        <w:gridCol w:w="900"/>
        <w:gridCol w:w="1400"/>
        <w:gridCol w:w="1180"/>
        <w:gridCol w:w="1180"/>
      </w:tblGrid>
      <w:tr>
        <w:trPr>
          <w:tblHeader/>
        </w:trPr>
        <w:tc>
          <w:tcPr>
            <w:tcW w:type="dxa" w:w="17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3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Média HIIT</w:t>
            </w:r>
          </w:p>
        </w:tc>
        <w:tc>
          <w:tcPr>
            <w:tcW w:type="dxa" w:w="13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Média jogo</w:t>
            </w:r>
          </w:p>
        </w:tc>
        <w:tc>
          <w:tcPr>
            <w:tcW w:type="dxa" w:w="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dz</w:t>
            </w:r>
          </w:p>
        </w:tc>
        <w:tc>
          <w:tcPr>
            <w:tcW w:type="dxa" w:w="14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Magnitude</w:t>
            </w:r>
          </w:p>
        </w:tc>
        <w:tc>
          <w:tcPr>
            <w:tcW w:type="dxa" w:w="11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1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 (FDR)</w:t>
            </w:r>
          </w:p>
        </w:tc>
      </w:tr>
      <w:tr>
        <w:tc>
          <w:tcPr>
            <w:tcW w:type="dxa" w:w="17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Raiva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1,50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1,02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+0,47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862a"/>
                <w:sz w:val="18"/>
                <w:szCs w:val="18"/>
              </w:rPr>
              <w:t xml:space="preserve">p = 0,042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0,128</w:t>
            </w:r>
          </w:p>
        </w:tc>
      </w:tr>
      <w:tr>
        <w:tc>
          <w:tcPr>
            <w:tcW w:type="dxa" w:w="17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PTH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4,70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2,52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+0,46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862a"/>
                <w:sz w:val="18"/>
                <w:szCs w:val="18"/>
              </w:rPr>
              <w:t xml:space="preserve">p = 0,048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0,128</w:t>
            </w:r>
          </w:p>
        </w:tc>
      </w:tr>
      <w:tr>
        <w:tc>
          <w:tcPr>
            <w:tcW w:type="dxa" w:w="17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1,27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0,70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+0,45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862a"/>
                <w:sz w:val="18"/>
                <w:szCs w:val="18"/>
              </w:rPr>
              <w:t xml:space="preserve">p = 0,037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0,128</w:t>
            </w:r>
          </w:p>
        </w:tc>
      </w:tr>
      <w:tr>
        <w:tc>
          <w:tcPr>
            <w:tcW w:type="dxa" w:w="17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Confusão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0,45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0,29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+0,45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0,076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0,149</w:t>
            </w:r>
          </w:p>
        </w:tc>
      </w:tr>
      <w:tr>
        <w:tc>
          <w:tcPr>
            <w:tcW w:type="dxa" w:w="17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Tensão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1,56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1,08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+0,35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pequeno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0,093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0,149</w:t>
            </w:r>
          </w:p>
        </w:tc>
      </w:tr>
      <w:tr>
        <w:tc>
          <w:tcPr>
            <w:tcW w:type="dxa" w:w="17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5,41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5,00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+0,20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trivial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0,493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0,657</w:t>
            </w:r>
          </w:p>
        </w:tc>
      </w:tr>
      <w:tr>
        <w:tc>
          <w:tcPr>
            <w:tcW w:type="dxa" w:w="17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 física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5,94</w:t>
            </w:r>
          </w:p>
        </w:tc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5,88</w:t>
            </w:r>
          </w:p>
        </w:tc>
        <w:tc>
          <w:tcPr>
            <w:tcW w:type="dxa" w:w="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+0,00</w:t>
            </w:r>
          </w:p>
        </w:tc>
        <w:tc>
          <w:tcPr>
            <w:tcW w:type="dxa" w:w="1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trivial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0,677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0,774</w:t>
            </w:r>
          </w:p>
        </w:tc>
      </w:tr>
      <w:tr>
        <w:tc>
          <w:tcPr>
            <w:tcW w:type="dxa" w:w="17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5,48</w:t>
            </w:r>
          </w:p>
        </w:tc>
        <w:tc>
          <w:tcPr>
            <w:tcW w:type="dxa" w:w="13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5,57</w:t>
            </w:r>
          </w:p>
        </w:tc>
        <w:tc>
          <w:tcPr>
            <w:tcW w:type="dxa" w:w="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-0,02</w:t>
            </w:r>
          </w:p>
        </w:tc>
        <w:tc>
          <w:tcPr>
            <w:tcW w:type="dxa" w:w="14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trivial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0,867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q = 0,867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6.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Contraste HIIT versus jogo por dimensão. p refere-se ao teste nominal; q refere-se ao valor corrigido por Benjamini-Hochberg.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padrão que emerge tem coerência interna notável. As dimensões que mais separam os dois estímulos são todas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afetivas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: raiva, PTH, depressão e confusão ficam de 0,45 a 0,47 desvios acima no HIIT, magnitude que se classifica entre pequena e média. A tensão as segue de perto. Em sentido contrário,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custo físico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quase não distingue os dois contextos: fadiga, fadiga física e vigor apresentam diferenças triviais, o que revela uma carga interna semelhante entre correr o HIIT e disputar o jogo.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Convém, porém, ler esse resultado com o rigor que ele exige. Nenhuma das oito diferenças resiste isolada à correção por FDR, uma vez que a comparação simultânea de várias dimensões infla a chance de falsos positivos. Por isso, o achado vale como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conjunto convergente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e não como diferença individual confirmada. Ainda assim, a coerência do padrão (quatro dimensões afetivas apontam na mesma direção, com magnitudes próximas) confere-lhe credibilidade que um único teste positivo não teria. A mensagem prática é direta: o jogo desgasta o corpo sem adoecer o humor, ao passo que o HIIT cobra os dois preços.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7   Perfis de humor: classificação e prevalência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Além das dimensões isoladas, o humor pode ser lido pela forma do perfil, isto é, pela combinação simultânea das seis dimensões. A classificação adotada segue a taxonomia de Parsons-Smith e distingue seis perfis.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iceberg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(vigor alto, negativas baixas) e 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superfície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(perfil achatado) representam estados favoráveis.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submerso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descreve um recolhimento generalizado. 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barbatana de tubarão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isola uma fadiga muito elevada com o restante normal, assinatura de sobrecarga física.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iceberg invertido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e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everest invertido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espelham o perfil saudável e sinalizam pior estado psicológico.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3800"/>
        <w:gridCol w:w="2810"/>
        <w:gridCol w:w="2410"/>
      </w:tblGrid>
      <w:tr>
        <w:trPr>
          <w:tblHeader/>
        </w:trPr>
        <w:tc>
          <w:tcPr>
            <w:tcW w:type="dxa" w:w="38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8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Prevalência na semana</w:t>
            </w:r>
          </w:p>
        </w:tc>
        <w:tc>
          <w:tcPr>
            <w:tcW w:type="dxa" w:w="24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 (respostas)</w:t>
            </w:r>
          </w:p>
        </w:tc>
      </w:tr>
      <w:tr>
        <w:tc>
          <w:tcPr>
            <w:tcW w:type="dxa" w:w="3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Iceberg</w:t>
            </w:r>
          </w:p>
        </w:tc>
        <w:tc>
          <w:tcPr>
            <w:tcW w:type="dxa" w:w="2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31,6%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3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Superfície</w:t>
            </w:r>
          </w:p>
        </w:tc>
        <w:tc>
          <w:tcPr>
            <w:tcW w:type="dxa" w:w="2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31,1%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142</w:t>
            </w:r>
          </w:p>
        </w:tc>
      </w:tr>
      <w:tr>
        <w:tc>
          <w:tcPr>
            <w:tcW w:type="dxa" w:w="3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Submerso</w:t>
            </w:r>
          </w:p>
        </w:tc>
        <w:tc>
          <w:tcPr>
            <w:tcW w:type="dxa" w:w="2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10,3%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3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Barbatana de tubarão</w:t>
            </w:r>
          </w:p>
        </w:tc>
        <w:tc>
          <w:tcPr>
            <w:tcW w:type="dxa" w:w="2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9,2%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8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Everest invertido</w:t>
            </w:r>
          </w:p>
        </w:tc>
        <w:tc>
          <w:tcPr>
            <w:tcW w:type="dxa" w:w="28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9,2%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8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Iceberg invertido</w:t>
            </w:r>
          </w:p>
        </w:tc>
        <w:tc>
          <w:tcPr>
            <w:tcW w:type="dxa" w:w="28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8,6%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39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7.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Prevalência de cada perfil no conjunto das respostas do microciclo (n = 456).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No cômputo da semana, os perfis favoráveis predominam com folga: o iceberg e a superfície respondem, somados, por cerca de dois terços das observações. Esse retrato tranquiliza quanto ao estado geral do elenco, mas não elimina a presença dos perfis de risco e de sobrecarga, que aparecem com frequência suficiente para justificar acompanhamento.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prevalência ganha muito significado quando se distribui por dia (Tabela 8 e Figura 4), pois é aí que a ligação com o tipo de estímulo se revela. 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barbatana de tubarão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cresce ao longo da semana e atinge o pico no D7, um dia de HIIT, o que a confirma como marca de sobrecarga física acumulada. 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submerso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comparece com mais força nos dias de jogo (D3 e D5), padrão compatível com o recolhimento afetivo que segue o desgaste competitivo. Os perfis favoráveis, embora dominantes, cedem espaço justamente nos dias de maior carga.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2902"/>
        <w:gridCol w:w="874"/>
        <w:gridCol w:w="874"/>
        <w:gridCol w:w="874"/>
        <w:gridCol w:w="874"/>
        <w:gridCol w:w="874"/>
        <w:gridCol w:w="874"/>
        <w:gridCol w:w="874"/>
      </w:tblGrid>
      <w:tr>
        <w:trPr>
          <w:tblHeader/>
        </w:trPr>
        <w:tc>
          <w:tcPr>
            <w:tcW w:type="dxa" w:w="2902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D1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D2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D3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D4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D5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D6</w:t>
            </w:r>
          </w:p>
        </w:tc>
        <w:tc>
          <w:tcPr>
            <w:tcW w:type="dxa" w:w="874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D7</w:t>
            </w:r>
          </w:p>
        </w:tc>
      </w:tr>
      <w:tr>
        <w:tc>
          <w:tcPr>
            <w:tcW w:type="dxa" w:w="2902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Iceberg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41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29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32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30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39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32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902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Superfície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26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36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27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35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27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35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902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Submerso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16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14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902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Barbatana de tubarão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5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14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902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Everest invertido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14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12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4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12</w:t>
            </w:r>
          </w:p>
        </w:tc>
        <w:tc>
          <w:tcPr>
            <w:tcW w:type="dxa" w:w="874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902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Iceberg invertido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10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11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15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10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1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6</w:t>
            </w:r>
          </w:p>
        </w:tc>
        <w:tc>
          <w:tcPr>
            <w:tcW w:type="dxa" w:w="874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8.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Prevalência (%) de cada perfil por dia. D2, D4 e D7 são dias de HIIT; D3 e D5, de jogo amistoso.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Figura 4.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Prevalência diária dos perfis mais informativos. A barbatana (sobrecarga) sobe rumo ao fim da semana; o submerso destaca-se nos dias de jogo; o iceberg (favorável) recua nos dias de maior carga. Círculos vazados marcam inflexões.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8   Associações e correlações entre as medidas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triangulação também examina como as medidas se relacionam entre si. As correlações a seguir foram calculadas no nível do atleta, o que respeita a independência das observações e evita a inflação artificial que resultaria de tratar cada resposta como um caso separado. A Tabela 9 apresenta as associações mais fortes entre as próprias dimensões do humor.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4200"/>
        <w:gridCol w:w="2410"/>
        <w:gridCol w:w="2410"/>
      </w:tblGrid>
      <w:tr>
        <w:trPr>
          <w:tblHeader/>
        </w:trPr>
        <w:tc>
          <w:tcPr>
            <w:tcW w:type="dxa" w:w="4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 de dimensões</w:t>
            </w:r>
          </w:p>
        </w:tc>
        <w:tc>
          <w:tcPr>
            <w:tcW w:type="dxa" w:w="24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ρ (Spearman)</w:t>
            </w:r>
          </w:p>
        </w:tc>
        <w:tc>
          <w:tcPr>
            <w:tcW w:type="dxa" w:w="24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 × raiva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0,55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0,003</w:t>
            </w:r>
          </w:p>
        </w:tc>
      </w:tr>
      <w:tr>
        <w:tc>
          <w:tcPr>
            <w:tcW w:type="dxa" w:w="4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 × raiva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0,48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0,011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fadiga × depressão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0,45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0,019</w:t>
            </w:r>
          </w:p>
        </w:tc>
      </w:tr>
      <w:tr>
        <w:tc>
          <w:tcPr>
            <w:tcW w:type="dxa" w:w="4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depressão × confusão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0,42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0,027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vigor × fadiga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-0,38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0,050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9.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Correlações de Spearman entre dimensões do humor (nível do atleta).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As dimensões negativas caminham juntas, o que confirma a coesão do bloco afetivo: depressão, raiva, confusão e fadiga correlacionam-se de forma positiva e apreciável entre si. Essa convergência sustenta o uso da PTH como resumo único do afeto negativo. O par vigor e fadiga associa-se em sentido inverso, relação esperada entre ativação e cansaço.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Tabela 10 estende a análise às medidas de sonolência e de estresse, o que aproxima o humor de dois marcadores externos ao BRUMS. Aqui reside uma das descobertas mais úteis do estudo.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4200"/>
        <w:gridCol w:w="2410"/>
        <w:gridCol w:w="2410"/>
      </w:tblGrid>
      <w:tr>
        <w:trPr>
          <w:tblHeader/>
        </w:trPr>
        <w:tc>
          <w:tcPr>
            <w:tcW w:type="dxa" w:w="4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 (medida × humor)</w:t>
            </w:r>
          </w:p>
        </w:tc>
        <w:tc>
          <w:tcPr>
            <w:tcW w:type="dxa" w:w="24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ρ (Spearman)</w:t>
            </w:r>
          </w:p>
        </w:tc>
        <w:tc>
          <w:tcPr>
            <w:tcW w:type="dxa" w:w="241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Epworth (sonolência) × fadiga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0,18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0,032</w:t>
            </w:r>
          </w:p>
        </w:tc>
      </w:tr>
      <w:tr>
        <w:tc>
          <w:tcPr>
            <w:tcW w:type="dxa" w:w="4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Epworth (sonolência) × vigor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-0,29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&lt; 0,001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Epworth (sonolência) × PTH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0,26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0,002</w:t>
            </w:r>
          </w:p>
        </w:tc>
      </w:tr>
      <w:tr>
        <w:tc>
          <w:tcPr>
            <w:tcW w:type="dxa" w:w="4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PSS (estresse) × fadiga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-0,02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0,831</w:t>
            </w:r>
          </w:p>
        </w:tc>
      </w:tr>
      <w:tr>
        <w:tc>
          <w:tcPr>
            <w:tcW w:type="dxa" w:w="4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PSS (estresse) × vigor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0,07</w:t>
            </w:r>
          </w:p>
        </w:tc>
        <w:tc>
          <w:tcPr>
            <w:tcW w:type="dxa" w:w="24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0,416</w:t>
            </w:r>
          </w:p>
        </w:tc>
      </w:tr>
      <w:tr>
        <w:tc>
          <w:tcPr>
            <w:tcW w:type="dxa" w:w="4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PSS (estresse) × PTH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-0,07</w:t>
            </w:r>
          </w:p>
        </w:tc>
        <w:tc>
          <w:tcPr>
            <w:tcW w:type="dxa" w:w="241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0,369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10.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Correlações de Spearman entre sonolência (Epworth), estresse (PSS) e dimensões do humor.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sonolência associa-se de modo positivo à fadiga e à PTH e de modo negativo ao vigor, o que a coloca dentro do mesmo eixo do custo físico do treino. O estresse percebido, por sua vez, mostra vínculos fracos e pouco consistentes com o humor. Essa diferença antecipa um resultado que a próxima seção detalha: sono e humor formam um bloco acoplado, ao passo que o estresse percebido corre por fora.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9   Sonolência e estresse: por tipo de dia e por perfil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Esta seção fecha a triangulação ao ligar a sonolência e o estresse aos dois recortes que mais interessam: o tipo de estímulo e o perfil de humor. A Tabela 11 compara Epworth e PSS entre os tipos de dia e traz o contraste HIIT versus jogo pareado por atleta.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1900"/>
        <w:gridCol w:w="1180"/>
        <w:gridCol w:w="1180"/>
        <w:gridCol w:w="1180"/>
        <w:gridCol w:w="1380"/>
        <w:gridCol w:w="2200"/>
      </w:tblGrid>
      <w:tr>
        <w:trPr>
          <w:tblHeader/>
        </w:trPr>
        <w:tc>
          <w:tcPr>
            <w:tcW w:type="dxa" w:w="1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11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Outro</w:t>
            </w:r>
          </w:p>
        </w:tc>
        <w:tc>
          <w:tcPr>
            <w:tcW w:type="dxa" w:w="11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HIIT</w:t>
            </w:r>
          </w:p>
        </w:tc>
        <w:tc>
          <w:tcPr>
            <w:tcW w:type="dxa" w:w="11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38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dz (H×J)</w:t>
            </w:r>
          </w:p>
        </w:tc>
        <w:tc>
          <w:tcPr>
            <w:tcW w:type="dxa" w:w="2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Epworth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8,9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85c1a"/>
                <w:sz w:val="18"/>
                <w:szCs w:val="18"/>
              </w:rPr>
              <w:t xml:space="preserve">10,1</w:t>
            </w:r>
          </w:p>
        </w:tc>
        <w:tc>
          <w:tcPr>
            <w:tcW w:type="dxa" w:w="11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6ec2"/>
                <w:sz w:val="18"/>
                <w:szCs w:val="18"/>
              </w:rPr>
              <w:t xml:space="preserve">9,7</w:t>
            </w:r>
          </w:p>
        </w:tc>
        <w:tc>
          <w:tcPr>
            <w:tcW w:type="dxa" w:w="13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+0,14</w:t>
            </w:r>
          </w:p>
        </w:tc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0,506</w:t>
            </w:r>
          </w:p>
        </w:tc>
      </w:tr>
      <w:tr>
        <w:tc>
          <w:tcPr>
            <w:tcW w:type="dxa" w:w="1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PSS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22,5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85c1a"/>
                <w:sz w:val="18"/>
                <w:szCs w:val="18"/>
              </w:rPr>
              <w:t xml:space="preserve">22,3</w:t>
            </w:r>
          </w:p>
        </w:tc>
        <w:tc>
          <w:tcPr>
            <w:tcW w:type="dxa" w:w="11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6ec2"/>
                <w:sz w:val="18"/>
                <w:szCs w:val="18"/>
              </w:rPr>
              <w:t xml:space="preserve">20,9</w:t>
            </w:r>
          </w:p>
        </w:tc>
        <w:tc>
          <w:tcPr>
            <w:tcW w:type="dxa" w:w="138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+0,40</w:t>
            </w:r>
          </w:p>
        </w:tc>
        <w:tc>
          <w:tcPr>
            <w:tcW w:type="dxa" w:w="2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0,006 *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11.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Sonolência e estresse por tipo de dia, com contraste HIIT versus jogo (dz pareado). O asterisco marca p &lt; 0,05.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sonolência sobe de forma discreta nos dias de carga, sem separar o HIIT do jogo. O estresse percebido, ao contrário, apresenta um efeito robusto: o PSS recua no dia de jogo em relação ao HIIT, com significância estatística. Apesar do alto volume que a partida impõe, o atleta a percebe como menos estressante do que a sessão intervalada, resultado que reforça o caráter aversivo do HIIT já sugerido pelos contrastes afetivos.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Tabela 12 desloca o olhar para o perfil de humor e agrupa as observações em três blocos: favorável (iceberg e superfície), neutro e de risco ou sobrecarga (perfis invertidos e barbatana). O teste de Kruskal-Wallis avalia se sonolência e estresse diferem entre os três grupos.</w:t>
      </w:r>
    </w:p>
    <w:tbl>
      <w:tblPr>
        <w:tblW w:type="dxa" w:w="9020"/>
        <w:tblBorders>
          <w:top w:val="single" w:color="c9d2dd" w:sz="4"/>
          <w:left w:val="none"/>
          <w:bottom w:val="single" w:color="c9d2dd" w:sz="4"/>
          <w:right w:val="none"/>
          <w:insideH w:val="single" w:color="c9d2dd" w:sz="4"/>
          <w:insideV w:val="none"/>
        </w:tblBorders>
      </w:tblPr>
      <w:tblGrid>
        <w:gridCol w:w="1900"/>
        <w:gridCol w:w="1360"/>
        <w:gridCol w:w="1200"/>
        <w:gridCol w:w="1200"/>
        <w:gridCol w:w="1160"/>
        <w:gridCol w:w="2200"/>
      </w:tblGrid>
      <w:tr>
        <w:trPr>
          <w:tblHeader/>
        </w:trPr>
        <w:tc>
          <w:tcPr>
            <w:tcW w:type="dxa" w:w="19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13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Favorável</w:t>
            </w:r>
          </w:p>
        </w:tc>
        <w:tc>
          <w:tcPr>
            <w:tcW w:type="dxa" w:w="1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Neutro</w:t>
            </w:r>
          </w:p>
        </w:tc>
        <w:tc>
          <w:tcPr>
            <w:tcW w:type="dxa" w:w="1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16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shd w:fill="1b3a5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9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Epworth</w:t>
            </w:r>
          </w:p>
        </w:tc>
        <w:tc>
          <w:tcPr>
            <w:tcW w:type="dxa" w:w="13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9,0</w:t>
            </w:r>
          </w:p>
        </w:tc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862a"/>
                <w:sz w:val="18"/>
                <w:szCs w:val="18"/>
              </w:rPr>
              <w:t xml:space="preserve">9,7</w:t>
            </w:r>
          </w:p>
        </w:tc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3030"/>
                <w:sz w:val="18"/>
                <w:szCs w:val="18"/>
              </w:rPr>
              <w:t xml:space="preserve">11,3</w:t>
            </w:r>
          </w:p>
        </w:tc>
        <w:tc>
          <w:tcPr>
            <w:tcW w:type="dxa" w:w="11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8,82</w:t>
            </w:r>
          </w:p>
        </w:tc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p = 0,012 *</w:t>
            </w:r>
          </w:p>
        </w:tc>
      </w:tr>
      <w:tr>
        <w:tc>
          <w:tcPr>
            <w:tcW w:type="dxa" w:w="19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PSS</w:t>
            </w:r>
          </w:p>
        </w:tc>
        <w:tc>
          <w:tcPr>
            <w:tcW w:type="dxa" w:w="13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b7a3d"/>
                <w:sz w:val="18"/>
                <w:szCs w:val="18"/>
              </w:rPr>
              <w:t xml:space="preserve">21,8</w:t>
            </w:r>
          </w:p>
        </w:tc>
        <w:tc>
          <w:tcPr>
            <w:tcW w:type="dxa" w:w="1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862a"/>
                <w:sz w:val="18"/>
                <w:szCs w:val="18"/>
              </w:rPr>
              <w:t xml:space="preserve">21,4</w:t>
            </w:r>
          </w:p>
        </w:tc>
        <w:tc>
          <w:tcPr>
            <w:tcW w:type="dxa" w:w="1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b03030"/>
                <w:sz w:val="18"/>
                <w:szCs w:val="18"/>
              </w:rPr>
              <w:t xml:space="preserve">21,8</w:t>
            </w:r>
          </w:p>
        </w:tc>
        <w:tc>
          <w:tcPr>
            <w:tcW w:type="dxa" w:w="116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0,52</w:t>
            </w:r>
          </w:p>
        </w:tc>
        <w:tc>
          <w:tcPr>
            <w:tcW w:type="dxa" w:w="2200"/>
            <w:shd w:fill="eef3f8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 = 0,771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Tabela 12.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Sonolência e estresse por grupo de perfil de humor, com teste de Kruskal-Wallis. O asterisco marca p &lt; 0,05.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5a6b80"/>
          <w:sz w:val="17"/>
          <w:szCs w:val="17"/>
        </w:rPr>
        <w:t xml:space="preserve">Figura 5.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 Média de sonolência (Epworth) e de estresse (PSS) por grupo de perfil de humor. A sonolência cresce do grupo favorável ao de risco; o estresse permanece estável.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desfecho é claro e robusto. A sonolência acompanha o perfil: eleva-se do grupo favorável ao grupo de risco, com diferença significativa pelo teste de Kruskal-Wallis. O estresse percebido, por outro lado, não distingue os três grupos, pois permanece praticamente idêntico entre eles. Sono e humor, portanto, integram um mesmo bloco funcional, ao passo que o estresse percebido segue uma dinâmica própria, desacoplada da forma do perfil.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10   Síntese da triangulação: três eixos de resposta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 cruzamento de todos os métodos reduz a complexidade das oito variáveis a três eixos independentes de resposta ao estímulo. Cada eixo reúne evidências convergentes e possui uma função prática distinta no monitoramento.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default"/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default"/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default"/>
      </w:r>
    </w:p>
    <w:p>
      <w:pPr>
        <w:pBdr>
          <w:left w:val="single" w:color="1b7a3d" w:sz="18" w:space="12"/>
        </w:pBdr>
        <w:spacing w:after="160" w:before="120" w:line="288"/>
        <w:ind w:left="200"/>
      </w:pPr>
      <w:r>
        <w:rPr>
          <w:rFonts w:ascii="Calibri" w:cs="Calibri" w:eastAsia="Calibri" w:hAnsi="Calibri"/>
          <w:color w:val="1a2230"/>
          <w:sz w:val="20"/>
          <w:szCs w:val="20"/>
        </w:rPr>
        <w:t xml:space="preserve">Em conjunto, o painel sugere uma divisão de trabalho no monitoramento: </w:t>
      </w:r>
      <w:r>
        <w:rPr>
          <w:rFonts w:ascii="Calibri" w:cs="Calibri" w:eastAsia="Calibri" w:hAnsi="Calibri"/>
          <w:b/>
          <w:bCs/>
          <w:color w:val="1a2230"/>
          <w:sz w:val="20"/>
          <w:szCs w:val="20"/>
        </w:rPr>
        <w:t xml:space="preserve">vigiar a fadiga física para a carga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color w:val="1a2230"/>
          <w:sz w:val="20"/>
          <w:szCs w:val="20"/>
        </w:rPr>
        <w:t xml:space="preserve">observar o afeto e o perfil para o estado psicológico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, com atenção reforçada aos dias de HIIT no fecho da semana, quando a sobrecarga física se acumula e o desconforto afetivo se acentua.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11   Considerações metodológicas e limitações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 interpretação dos resultados requer três cautelas. Em primeiro lugar, o estudo trabalha com grupo único, sem controle, de modo que as leituras descrevem e rastreiam, mas não estabelecem causa. Em segundo lugar, o pequeno número de comparações significativas que sobrevivem à correção por FDR recomenda prudência: os padrões afetivos valem como tendência convergente, e a confirmação exigiria amostra maior. Em terceiro lugar, a associação entre perfis de risco e desfechos clínicos de lesão ou de saúde mental é plausível à luz da literatura, porém não foi validada aqui, pois o microciclo não dispõe de desfechos vinculados.</w:t>
      </w:r>
    </w:p>
    <w:p>
      <w:pPr>
        <w:spacing w:after="140" w:before="0" w:line="288"/>
        <w:jc w:val="both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Essas ressalvas não diminuem o valor do trabalho; ao contrário, delimitam com honestidade o que a evidência sustenta. O estudo demonstra 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viabilidade de um rastreio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sensível e reprodutível, capaz de identificar quais variáveis respondem a cada estímulo, quando o risco se concentra e quais atletas merecem acompanhamento individual. A etapa seguinte natural consiste em um estudo prospectivo, com registro sistemático de lesões e de indicadores de saúde mental, que permita transformar a viabilidade demonstrada em validação causal.</w:t>
      </w:r>
    </w:p>
    <w:p>
      <w:pPr>
        <w:spacing w:after="60"/>
      </w:pPr>
    </w:p>
    <w:p>
      <w:pPr>
        <w:pBdr>
          <w:top w:val="single" w:color="c9d2dd" w:sz="6"/>
        </w:pBdr>
        <w:spacing w:after="40" w:before="120"/>
      </w:pPr>
    </w:p>
    <w:p>
      <w:pPr>
        <w:spacing w:after="0" w:before="0" w:line="288"/>
        <w:jc w:val="left"/>
      </w:pPr>
      <w:r>
        <w:rPr>
          <w:rFonts w:ascii="Calibri" w:cs="Calibri" w:eastAsia="Calibri" w:hAnsi="Calibri"/>
          <w:b/>
          <w:bCs/>
          <w:color w:val="5a6b80"/>
          <w:sz w:val="17"/>
          <w:szCs w:val="17"/>
        </w:rPr>
        <w:t xml:space="preserve">Nota técnica. </w:t>
      </w:r>
      <w:r>
        <w:rPr>
          <w:rFonts w:ascii="Calibri" w:cs="Calibri" w:eastAsia="Calibri" w:hAnsi="Calibri"/>
          <w:i/>
          <w:iCs/>
          <w:color w:val="5a6b80"/>
          <w:sz w:val="17"/>
          <w:szCs w:val="17"/>
        </w:rPr>
        <w:t xml:space="preserve">Todos os números deste relatório derivam da camada gold de um lakehouse local e reprodutível (Delta Lake e DuckDB), com sementes fixas e verificação de determinismo e idempotência. As tabelas an_tri_* alimentam simultaneamente este documento e a aba de triangulação do painel interativo, o que garante consistência entre os dois materiais.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a6b80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/>
      </w:pBdr>
      <w:spacing w:after="0"/>
      <w:jc w:val="right"/>
    </w:pPr>
    <w:r>
      <w:rPr>
        <w:rFonts w:ascii="Calibri" w:cs="Calibri" w:eastAsia="Calibri" w:hAnsi="Calibri"/>
        <w:color w:val="5a6b80"/>
        <w:sz w:val="15"/>
        <w:szCs w:val="15"/>
      </w:rPr>
      <w:t xml:space="preserve">Triangulação dos resultados · BRUMS · microciclo de pré-temporada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ab0d2c0bb8e814ab004e9634ee86999c14afe5.png"/><Relationship Id="rId10" Type="http://schemas.openxmlformats.org/officeDocument/2006/relationships/image" Target="media/dc84d91259bb841bba08ab8049ce6e86cbe010f6.png"/><Relationship Id="rId11" Type="http://schemas.openxmlformats.org/officeDocument/2006/relationships/image" Target="media/117b5695ab87a97168c3d8af3c1b2c50e4f569c4.png"/><Relationship Id="rId12" Type="http://schemas.openxmlformats.org/officeDocument/2006/relationships/image" Target="media/90bfeb6f6ff96a35f1899c3ba7dea60caef5382c.png"/><Relationship Id="rId13" Type="http://schemas.openxmlformats.org/officeDocument/2006/relationships/image" Target="media/6088806e7ec4e66e28aefcc78d9542de5d4998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Triangulação dos resultados</dc:title>
  <dc:creator>Monitoramento BRUMS — Handebol</dc:creator>
  <cp:lastModifiedBy>Un-named</cp:lastModifiedBy>
  <cp:revision>1</cp:revision>
  <dcterms:created xsi:type="dcterms:W3CDTF">2026-08-24T14:59:12.651Z</dcterms:created>
  <dcterms:modified xsi:type="dcterms:W3CDTF">2026-08-24T14:59:12.651Z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