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Tabela. Análise descritiva robusta das dimensões do humor (BRUMS) na semana de pré-temporada (n = 456 observações de 27 atletas).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IQR (Q1–Q3)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IC95% mediana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 aparada 20%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 piso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Assimetria (Bowley)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Vigor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4,0–8,0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[6,0; 6,0]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5,75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Fadiga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3,0–8,0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[4,0; 6,0]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5,19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Tensão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0,0–2,0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[0,0; 1,0]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0,84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Depressão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0,0–1,0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[0,0; 0,0]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Raiva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0,0–2,0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[0,0; 0,0]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0,57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Confusão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0,0–0,0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[0,0; 0,0]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PTH (TMD)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-2,0–8,0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[1,0; 3,0]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2,64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-12–52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Fadiga física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5,0–8,0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[6,0; 7,0]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0,33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Fadiga mental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2,0–7,0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[4,0; 5,0]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4,46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0–10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</w:t>
            </w:r>
          </w:p>
        </w:tc>
      </w:tr>
    </w:tbl>
    <w:p>
      <w:r>
        <w:rPr>
          <w:i/>
          <w:sz w:val="18"/>
        </w:rPr>
        <w:t>IQR: intervalo interquartílico; IC95% da mediana por reamostragem bootstrap (5.000 repetições); MAD: desvio absoluto mediano; média aparada 20%: média após remover os 20% extremos de cada cauda; % piso: proporção de escores nulos; assimetria de Bowley (baseada em quartis, −1 a +1; valores positivos indicam cauda à direita). Optou-se por estatísticas robustas porque as dimensões afetivas negativas apresentam forte efeito de piso e assimetria, que distorcem a média e o desvio-padrão. As dimensões do eixo energia–fadiga (vigor, fadiga, fadiga física e mental) mostram distribuição gradável (piso ≤ 9%), enquanto tensão, depressão, raiva e confusão concentram-se no piso (50–80% de zeros), justificando a leitura por prevalência e a análise não paramétrica.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