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>
              <w:t>Alfa de Cronbach, ômega, AFC e TRI</w:t>
            </w:r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Multivariada</w:t>
            </w:r>
          </w:p>
        </w:tc>
        <w:tc>
          <w:tcPr>
            <w:tcW w:type="dxa" w:w="2408"/>
          </w:tcPr>
          <w:p>
            <w:r>
              <w:rPr/>
              <w:t>PERMANOVA e PERMDISP</w:t>
            </w:r>
          </w:p>
        </w:tc>
        <w:tc>
          <w:tcPr>
            <w:tcW w:type="dxa" w:w="2408"/>
          </w:tcPr>
          <w:p>
            <w:r>
              <w:rPr/>
              <w:t>Testar o deslocamento do perfil de humor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Crescimento e predição</w:t>
            </w:r>
          </w:p>
        </w:tc>
        <w:tc>
          <w:tcPr>
            <w:tcW w:type="dxa" w:w="2408"/>
          </w:tcPr>
          <w:p>
            <w:r>
              <w:rPr/>
              <w:t>Modelos mistos, regressão logística e curva de aprendizado</w:t>
            </w:r>
          </w:p>
        </w:tc>
        <w:tc>
          <w:tcPr>
            <w:tcW w:type="dxa" w:w="2408"/>
          </w:tcPr>
          <w:p>
            <w:r>
              <w:rPr/>
              <w:t>Modelar a trajetória e avaliar a capacidade preditiva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9844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15. </w:t>
      </w:r>
      <w:r>
        <w:rPr>
          <w:rFonts w:ascii="Times New Roman" w:hAnsi="Times New Roman"/>
          <w:sz w:val="24"/>
        </w:rPr>
        <w:t>Árvore de decisões analíticas do estudo: a escolha de cada método estatístico segundo as propriedades dos dados (normalidade, efeito de piso, tipo de comparação e pressupostos multivariados), com a trilha paralela de qualidade das medidas e as regras transversais.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r>
        <w:t>Como verificação de robustez, a mesma tarefa preditiva e o mesmo esquema de validação (agrupado por atleta) foram reaplicados a dois algoritmos flexíveis de gradient boosting, capazes de captar interações e não linearidades: XGBoost e LightGBM. Ambos ficaram no nível do acaso (AUC = 0,50 nos dois casos) e, portanto, abaixo do teto obtido pela regressão logística (AUC = 0,58; Figura 19). O fato de modelos mais expressivos não superarem — e mesmo não igualarem — um modelo linear simples indica que o limite de predição não decorre da forma funcional escolhida, mas da ausência de estrutura individual explorável no perfil de humor. O resultado converge com a curva de aprendizado plana e reforça a leitura central: a dinâmica do humor é informativa como tendência de grupo, não como preditor isolado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5198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1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Figura 19. Comparação da capacidade preditiva (AUC, validação cruzada por atleta) entre a regressão logística e os modelos de gradient boosting (XGBoost, LightGBM) na classificação da fase do microciclo; a linha tracejada indica o nível do acaso.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4.4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4.5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