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0,012; dias de HIIT vs. demais dias, χ²(21) = 105,8, p &lt; 0,001).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 e entre os dias de HIIT e os demais (pseudo-F = 2,71; R² = 0,007; p = 0,007). Os tamanhos de efeito, embora pequenos em fração de variância (0,7 a 1,0%), são direcionais e coerentes com a leitura de sinal/ruído: a mudança é real, porém ocupa parcela reduzida de uma variância total dominada pelo efeito de piso das dimensões negativas. O teste PERMDISP indicou que, no contraste pré vs. pós, as dispersões multivariadas são homogêneas (F = 0,80; p = 0,342), de modo que a diferença reflete deslocamento do centroide, e não heterogeneidade de variância; já nos dias de HIIT observou-se, além do deslocamento, aumento significativo da dispersão multivariada (PERMDISP F = 9,27; p = 0,003), indicando resposta mais heterogênea entre atletas ao estímulo intenso.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do dia (HIIT vs. não-HIIT)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+ maior dispersão nos dias de HIIT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e sob a carga de HIIT (PERMANOVA, p = 0,002 e p = 0,007),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