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DINÂMICA DO HUMOR NUM MICROCICLO PRÉ-COMPETITIVO DE HANDEBOL DE ELITE: EIXO ENERGIA–FADIGA, MIGRAÇÃO DE PERFIS E MODELAGEM DE TRAJETÓRIAS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modelar a dinâmica do humor de atletas de handebol de elite ao longo de um microciclo pré-competitivo, com a comparação de cada dimensão do BRUMS entre todos os dias, a identificação dos dias de maior e menor expressão de cada estado, a classificação dos perfis de humor e a modelagem das trajetórias.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T, correlação de Spearman, classificação de perfis com regressão logística da migração, modelagem polinomial das trajetórias (derivadas e cruzamento) e decomposição sinal–ruído; a robustez foi testada por reexecução após filtragem de observações atípicas.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com confirmação por MANOVA (Wilks λ = 0,181; p &lt; 0,001). O vigor foi máximo no Dia 1 e a fadiga no Dia 7. Os seis perfis de humor descritos por Terry e Parsons-Smith estiveram representados, e a prevalência deslocou-se do iceberg (48% no baseline) para a barbatana de tubarão (22% no Dia 7); a regressão logística de tendência confirmou o aumento da chance do perfil de barbatana de tubarão (OR = 1,37 por dia), sem instalação dos perfis de maior risco à saúde mental. A modelagem das trajetórias localizou o cruzamento entre vigor e fadiga na metade da semana, e a decomposição sinal–ruído revelou que o vigor e a fadiga são quase inteiramente sinal, ao passo que as dimensões negativas são dominadas por ruído. Todos os achados centrais permaneceram estáveis após a auditoria de robustez.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tubarão), em um padrão compatível com sobre-esforço funcional; o vigor e a fadiga foram as dimensões mais sensíveis e sistemáticas, o que recomenda centrar o monitoramento do humor no eixo energia–fadiga.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perfis de humor.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Esse padrão de esforço eleva a carga interna nos microciclos de acúmulo e repercute no estado afetivo, sobretudo na última semana de pré-temporada, quando a carga que antecede a competição se concentra — contexto no qual o monitoramento do humor se torna particularmente informativo para distinguir a fadiga esperada de uma deterioração que exija intervenção.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modelar a dinâmica do humor desses atletas na última semana de pré-temporada, com atenção ao comportamento de cada dimensão do BRUMS, à comparação entre todos os dias, à identificação dos dias de maior e menor expressão de cada estado e à evolução dos perfis de humor.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 (Escala de Humor de Brunel), com 24 itens em escala de 0 (“nada”) a 4 (“extremamente”), agrupados em seis subescalas de 0 a 16 pontos (tensão, depressão, raiva, vigor, fadiga e confusão); a Perturbação Total do Humor (PTH) resume o perfil (soma das dimensões negativas menos o vigor). Para a classificação dos perfis e a análise multivariada, os escores foram convertidos em escores T (M = 50; DP = 10). O instrumento foi autoaplicado por formulário eletrônico, uma vez na linha de base e duas vezes ao dia — pré e pós-treino — nos dias de treino, o que permite separar a resposta afetiva aguda a cada sessão do acúmulo ao longo da semana.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Os perfis de humor foram classificados a partir dos escores T das seis dimensões, e a migração de perfil ao longo da semana foi testada como tendência por regressão logística da probabilidade de cada perfil (iceberg e barbatana de tubarão) em função do dia do microciclo, com os intervalos de confiança das razões de chances obtidos por reamostragem (bootstrap, 1000 repetições) de atletas, para acomodar a estrutura de medidas repetidas. A dinâmica temporal foi modelada por meio do ajuste de uma função polinomial às médias diárias de cada dimensão, da qual se obtiveram, por derivação, a taxa de variação instantânea (derivada primeira), os pontos críticos (máximos e mínimos), o ponto de inflexão (raiz da derivada segunda) e o cruzamento entre as trajetórias de vigor e fadiga. A mesma componente suave decompôs cada trajetória em sinal e ruído, com a quantificação da razão sinal-ruído (SNR) e uma visualização suavizada das curvas. A resposta foi ainda modelada por atleta (trajetórias individuais) e reconstruída em alta resolução com 13 pontos temporais (linha de base e momentos pré e pós de cada dia de treino). Por fim, para verificar a dependência dos achados em relação a observações atípicas, todas as análises centrais foram reexecutadas após a remoção de valores multivariadamente atípicos (distância de Mahalanobis).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8;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13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13).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14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14; Figura 13).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15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15)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14).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3.11 Decomposição sinal–ruído e suavização das trajetórias</w:t>
      </w:r>
    </w:p>
    <w:p>
      <w:pPr>
        <w:spacing w:before="160" w:after="40"/>
      </w:pPr>
      <w:r>
        <w:rPr>
          <w:sz w:val="22"/>
        </w:rPr>
        <w:t>Tabela 16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Trajetórias diárias suavizadas: sinal (curva) sobreposto às médias diárias observadas (pontos), com separação entre a tendência e oruído.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16; Figura 15).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3.12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por atleta (linhas finas) e a média do grupo (linha grossa), que expõem aheterogeneidade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com o ajuste, para cada participante, de sua própria trajetória ao longo da semana (Figura 16).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3.13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 do grupo em 13 pontos temporais (baseline + pré e pós-treino de cada dia), com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 base nas duas coletas diárias dos dias de treino, a trajetória do grupo foi reconstruída em alta resolução, com 13 pontos temporais — a linha de base e os momentos pré e pós de cada um dos seis dias de treino (Figura 17).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3.14 Auditoria de robustez: filtragem de sinal e ruído</w:t>
      </w:r>
    </w:p>
    <w:p>
      <w:pPr>
        <w:spacing w:before="160" w:after="40"/>
      </w:pPr>
      <w:r>
        <w:rPr>
          <w:sz w:val="22"/>
        </w:rPr>
        <w:t>Tabela 17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17).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concentração da resposta no eixo energético — e não nas dimensões de valência emocional — respalda essa leitura: a perturbação nasceu da carga física e da restauração incompleta entre as sessões. O acoplamento crescente entre o afeto negativo e a fadiga, do primeiro ao último dia, acompanha essa transição de um estado diferenciado para um estado integrado de estresse, no qual as respostas afetivas convergem sob um substrato central comum.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em uma modalidade coletiva de invasão de elevada demanda física e emocional.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instalação dos perfis de maior risco à saúde mental — corresponde a um sobre-esforço funcional, ou seja, a uma fadiga esperada e reversível, própria de uma fase de acumulação. A migração do perfil iceberg para o de barbatana de tubarão, confirmada por regressão logística de tendência, e o cruzamento entre vigor e fadiga sintetizam essa dinâmica.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Contribuições dos autores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[Autor 1] e [Autor 2] conceberam o estudo e o delineamento. [Autor 1] conduziu a coleta de dados. [Autor 1] e [Autor 3] realizaram as análises estatísticas. [Autor 1] redigiu a primeira versão do manuscrito. Todos os autores revisaram criticamente o texto e aprovaram a versão final.</w:t>
      </w:r>
    </w:p>
    <w:p>
      <w:pPr>
        <w:spacing w:before="120" w:after="80" w:line="360" w:lineRule="auto"/>
      </w:pPr>
      <w:r>
        <w:rPr>
          <w:b/>
          <w:sz w:val="24"/>
        </w:rPr>
        <w:t>Financiamento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[Esta pesquisa não recebeu financiamento externo. / Esta pesquisa foi financiada por [agência], processo nº [placeholder].]</w:t>
      </w:r>
    </w:p>
    <w:p>
      <w:pPr>
        <w:spacing w:before="120" w:after="80" w:line="360" w:lineRule="auto"/>
      </w:pPr>
      <w:r>
        <w:rPr>
          <w:b/>
          <w:sz w:val="24"/>
        </w:rPr>
        <w:t>Aprovação ética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 estudo foi conduzido de acordo com a Declaração de Helsinque e aprovado pelo Comitê de Ética em Pesquisa de [instituição] (parecer nº / CAAE [placeholder]).</w:t>
      </w:r>
    </w:p>
    <w:p>
      <w:pPr>
        <w:spacing w:before="120" w:after="80" w:line="360" w:lineRule="auto"/>
      </w:pPr>
      <w:r>
        <w:rPr>
          <w:b/>
          <w:sz w:val="24"/>
        </w:rPr>
        <w:t>Consentimento informado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Todos os participantes assinaram o termo de consentimento livre e esclarecido antes da coleta de dados.</w:t>
      </w:r>
    </w:p>
    <w:p>
      <w:pPr>
        <w:spacing w:before="120" w:after="80" w:line="360" w:lineRule="auto"/>
      </w:pPr>
      <w:r>
        <w:rPr>
          <w:b/>
          <w:sz w:val="24"/>
        </w:rPr>
        <w:t>Disponibilidade dos dados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dados que sustentam os achados deste estudo, em forma anonimizada, e os scripts de análise estão disponíveis mediante solicitação razoável ao autor correspondente.</w:t>
      </w:r>
    </w:p>
    <w:p>
      <w:pPr>
        <w:spacing w:before="120" w:after="80" w:line="360" w:lineRule="auto"/>
      </w:pPr>
      <w:r>
        <w:rPr>
          <w:b/>
          <w:sz w:val="24"/>
        </w:rPr>
        <w:t>Conflitos de interesse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autores declaram não haver conflitos de interesse.</w:t>
      </w:r>
    </w:p>
    <w:p>
      <w:pPr>
        <w:spacing w:before="120" w:after="80" w:line="360" w:lineRule="auto"/>
      </w:pPr>
      <w:r>
        <w:rPr>
          <w:b/>
          <w:sz w:val="24"/>
        </w:rPr>
        <w:t>Artigo companheiro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Este manuscrito integra um par de estudos-companheiros que compartilham a mesma amostra e o mesmo microciclo, com desfechos primários distintos. O artigo companheiro — sobre os correlatos fisiológicos e de bem-estar da resposta de humor — foi submetido a outro periódico; ambos se citam mutuamente.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