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CORRELATOS FISIOLÓGICOS E DE BEM-ESTAR DA RESPOSTA DE HUMOR NUM MICROCICLO PRÉ-COMPETITIVO DE HANDEBOL DE ELITE: APTIDÃO AERÓBIA, CAPACIDADE ANAERÓBIA, SONO E ESTRESSE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examinar os correlatos fisiológicos e de bem-estar da resposta de humor de handebolistas de elite num microciclo pré-competitivo — aptidão aeróbia intermitente (pico de velocidade do Teste de Carminatti), capacidade anaeróbia (sprints repetidos), composição corporal, sonolência e estresse percebido.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treino; 286 observações) e foram avaliados por antropometria, salto vertical (CMJ), teste de sprints repetidos (Baker), Teste de Carminatti (T-CAR), Escala de Sonolência de Epworth e Escala de Estresse Percebido (PSS-14). Empregaram-se correlação de Spearman, regressão, limiares (índice de Youden e tercis), ajuste alométrico, correlação parcial e análise de moduladores da magnitude dos efeitos (coeficiente de determinação R²).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do humor concentrou-se no eixo energia–fadiga (vigor d = -1,33; fadiga d = +0,78; MANOVA Wilks λ = 0,181; p &lt; 0,001). A aptidão aeróbia intermitente foi o correlato fisiológico mais forte: maior pico de velocidade associou-se a menos fadiga física (ρ = -0,51) e a mais vigor (ρ = +0,47), com limiar de aproximadamente 14,9 km/h e faixas de risco definidas por dois cortes. A capacidade anaeróbia (sprints repetidos) não se associou de forma significativa à fadiga (melhor tempo × fadiga física ρ = +0,26), e o vínculo aparente desapareceu ao controlar a massa corporal (ρ parcial = +0,11), o que evidencia especificidade aeróbia. A sonolência elevou-se ao longo da semana e acompanhou a fadiga e a perturbação total do humor, ao passo que o estresse percebido se manteve estável. A magnitude dos efeitos agudo e crônico foi amplamente independente do perfil individual (coeficientes de determinação baixos).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entre os parâmetros examinados, a aptidão aeróbia intermitente destacou-se como o correlato fisiológico genuíno da fadiga do humor, ao passo que a capacidade anaeróbia e o porte corporal não a explicaram; a sonolência acrescentou uma leitura de recuperação e o estresse percebido delimitou a especificidade da resposta à carga de treino. Recomenda-se um monitoramento multidomínio centrado no eixo energia–fadiga.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aptidão aeróbia; Teste de Carminatti; humor; BRUMS; handebol; monitoramento do atleta.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entre elas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2026); firma-se, assim, como um indicador de baixo custo e alta sensibilidade para a triagem do bem-estar psicológico e do risco de saúde mental em contextos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prática, a escala tem sido empregada sobretudo em dois momentos: como um retrato pontual em torno da competição, associado à probabilidade de vitória e ao estado pré-jogo (BRANDT et al., 2019; DO NASCIMENTO et al., 2026), e em comparações entre fases de treino separadas por semanas ou meses, muitas vezes em paralelo a marcadores hormonais e de sono (ROUVEIX et al., 2006; ANDRADE et al., 2019). Permanece menos explorada, contudo, a dinâmica fina do humor no interior de um único microciclo — aquela que distingue a oscilação aguda de cada sessão do acúmulo ao longo dos dias —, sobretudo quando acompanhada de forma contínua e articulada à aptidão física em uma modalidade coletiva.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Dois desses perfis são especialmente informativos para a leitura de um microciclo de carga. O iceberg — vigor elevado sobrepondo-se a dimensões negativas baixas — é a assinatura da prontidão e do bem-estar e associa-se a melhor desempenho esportivo, tendo a perturbação total do humor predito o rendimento em meta-análise de estudos com atletas competitivos (efeito médio; LOCHBAUM et al., 2021). A barbatana de tubarão (shark fin), por sua vez, descreve o atleta ainda energizado, porém com a fadiga já elevada acima do vigor — e, em graus variados, com tensão e raiva acentuadas —, e configura a assinatura afetiva típica do acúmulo de treino. Como o humor é um estado transitório e sensível à carga, é de se esperar que, ao longo de uma semana intensa de treinamento, a prevalência se desloque do iceberg para a barbatana de tubarão: um “derretimento do iceberg” que traduz, no plano dos perfis, a deterioração progressiva do eixo energia–fadiga (MORGAN, 1985; HAN; PARSONS-SMITH; TERRY, 2020). Descrever esse deslocamento ao longo dos dias — e não apenas em um instantâneo — é o que permite distinguir a fadiga funcional, esperada e reversível, de uma deterioração que exigiria intervenção, e constitui um dos focos centrais deste estudo.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o que exige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com a preservação da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Embora a resposta de humor à carga de treino esteja bem documentada, permanece pouco esclarecido quais parâmetros fisiológicos e de bem-estar rastreiam a sua magnitude num microciclo pré-competitivo de handebol de elite — questão central para um monitoramento multidomínio, que combina marcadores neuromusculares, cardioautonômicos e de autorrelato (NAUGHTON et al., 2023). Diante dessa lacuna, o objetivo geral consistiu em examinar os correlatos fisiológicos e de bem-estar da resposta de humor desses atletas na última semana de pré-temporada. De modo específico, o estudo propôs-se a: (i) caracterizar a amostra e confirmar a deterioração do humor no eixo energia–fadiga; (ii) analisar a relação entre a aptidão aeróbia intermitente (pico de velocidade do T-CAR) e a resposta de humor, com limiares de decisão; (iii) contrastar essa relação com a da capacidade anaeróbia (sprints repetidos) e com a da composição corporal, com controle do porte do atleta; (iv) caracterizar a sonolência e o estresse percebido e a sua relação com o humor; e (v) quantificar em que medida as características do atleta modulam a magnitude dos efeitos agudo e crônico. Hipotetizou-se que a aptidão aeróbia intermitente seria o correlato fisiológico mais consistente da fadiga do humor, ao passo que a capacidade anaeróbia e o porte corporal teriam papel secundário.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de utilidade para a caracterização da amostra e ao ajuste alométrico do desempenho no T-CAR.</w:t>
      </w:r>
    </w:p>
    <w:p>
      <w:pPr>
        <w:spacing w:before="160" w:after="40"/>
      </w:pPr>
      <w:r>
        <w:rPr>
          <w:sz w:val="22"/>
        </w:rPr>
        <w:t>Tabela 1 – Inventário dos instrumentos: domínio avaliado, estrutura, amplitude e momento de coleta.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Instrumento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Domínio avaliado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Estrutura e amplitude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Coleta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BRUMS-24 (Escala de Humor de Brunel)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Humor: tensão, depressão, raiva, vigor, fadiga, confusão (+ PTH)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24 itens (4 por subescala), 0–4 por item; subescalas 0–16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Baseline (1×) e pré/pós de cada treino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e mental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 percebida (física e mental)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 itens únicos, 0–10 cada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Junto ao diário eletrônico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Epworth (versão de 6 itens)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Sonolência diurna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 itens, 0–18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Diária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PSS-14 (Escala de Estresse Percebido)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Estresse percebido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 itens (7 de pontuação invertida), 0–56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Diária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Teste de Carminatti (T-CAR)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Aptidão aeróbia intermitente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Teste de campo progressivo e intermitente; pico de velocidade (km/h)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Salto vertical (CMJ)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Potência de membros inferiores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Altura do salto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Sprints repetidos (Baker)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Capacidade de sprints repetidos (componente anaeróbio)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 sprints; melhor tempo (s) e índice de fadiga %F; menor = melhor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 e final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Antropometria e dobras cutâneas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Composição corporal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Massa (kg), estatura (cm),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Linha de base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Monitoramento de carga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Carga interna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Frequência cardíaca, TRIMP e percepção de esforço (PSE)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Sessões de treino</w:t>
            </w:r>
          </w:p>
        </w:tc>
      </w:tr>
    </w:tbl>
    <w:p>
      <w:pPr>
        <w:spacing w:after="0"/>
      </w:pPr>
      <w:r>
        <w:rPr>
          <w:i/>
          <w:sz w:val="17"/>
        </w:rPr>
        <w:t>Autorrelato: BRUMS-24, fadiga física/mental, Epworth e PSS-14. Avaliações físicas: T-CAR, CMJ, sprints repetidos (Baker) e antropometria. PTH = Perturbação Total do Humor; PSE = percepção subjetiva de esforço;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 sintetiza os instrumentos empregados, o domínio de cada um, a sua estrutura e o momento de coleta.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o que garante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com a divisão de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por regressão logística (probabilidade de um dia de fadiga elevada em função do pico de velocidade), com o ponto de corte definido pelo índice de Youden — que maximiza a soma de sensibilidade e especificidade —, a discriminação avaliada pela área sob a curva ROC e a qualidade de ajuste do modelo logístico reportada pela log-verossimilhança, pelo pseudo-R² de McFadden e pelos critérios de informação de Akaike (AIC) e bayesiano (BIC). Como verificação a posteriori da forma funcional dessa relação, a associação entre o pico de velocidade e a resposta semanal de humor (fadiga física e vigor) foi ajustada por três modelos concorrentes — linear, logarítmico (ln do pico de velocidade) e polinomial de 2º grau —, com a escolha daquele de melhor compromisso entre ajuste e parcimônia pelo menor AIC/BIC, além do R² ajustado e do RMSE; para o modelo logístico, comparou-se ainda o preditor na escala bruta contra a logarítmica. Modelou-se ainda a probabilidade de um dia de baixo vigor (tercil inferior) em função do pico de velocidade, com os intervalos de confiança das razões de chances e das áreas sob a curva obtidos por reamostragem (bootstrap, 1000 repetições) de atletas, para acomodar a estrutura de medidas repetidas. Além do ponto de corte único, o pico de velocidade foi estratificado por dois limiares — os tercis de sua distribuição — em três faixas de aptidão, com a comparação da prevalência de dias críticos entre as faixas ordenadas pelo teste de tendência linear de Cochran-Armitage. Para separar o efeito da aptidão do efeito do tamanho corporal, o pico de velocidade foi ainda submetido a ajuste alométrico: estimou-se o expoente da relação alométrica pela regressão log(PV)–log(massa) e normalizou-se o PV pela massa elevada a esse expoente, com o contraste entre as associações do PV bruto e do PV normalizado com a fadiga e o vigor. A capacidade anaeróbia foi avaliada pelo teste de sprints repetidos (Baker), do qual se tomaram o melhor tempo, a soma dos tempos e o índice de fadiga (percentual de decremento); a sua associação com a fadiga e o vigor foi examinada por correlação de Spearman, por correlação parcial (com controle da massa corporal) e por ajuste alométrico, de modo a separar o efeito da capacidade do efeito do porte corporal. Para identificar os moduladores da magnitude dos efeitos, definiu-se o efeito agudo como a variação intrassessão (pós − pré) por atleta-dia e o efeito crônico como a inclinação semanal (taxa por dia) da média diária de cada dimensão; a associação de cada efeito com as características do atleta — aptidão aeróbia intermitente (PV), composição corporal, potência de membros inferiores (salto CMJ), sprints repetidos (Baker), sonolência, estresse e carga interna (TRIMP) — foi quantificada pela correlação de Pearson e pelo coeficiente de determinação (R²), além de modelos de regressão múltipla com coeficientes padronizados (β*); dado o número de testes, aplicou-se a correção de Holm para comparações múltiplas.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2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3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2) e com caracterização sociodemográfica e antropométrica compatível com a de handebolistas de nível competitivo (Tabela 3).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4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4), o que justifica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5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5: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6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6):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7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7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8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8)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9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comparação de todos os dias entre si (pós-teste de Tukey; Tabela 9; Figura 3), o vigor diferiu significativamente em 9 dos 21 pares de dias e a fadiga em 6 — sempre no sentido de piora em relação aos primeiros dias —, com a confirmação da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10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o que evidencia a concentração do efeito no eixo energia–fadiga —, enquanto a tensão (p = 0,012) e a confusão (p = 0,017), significativas apenas sob α = 0,05, não resistiram à correção (Tabela 10; Figura 4). A resposta aguda pré → pós também foi multivariadamente significativa (Wilks λ = 0,539; p = 0,028), o que reforça o achado.</w:t>
      </w:r>
    </w:p>
    <w:p>
      <w:pPr>
        <w:spacing w:before="120" w:after="80" w:line="360" w:lineRule="auto"/>
      </w:pPr>
      <w:r>
        <w:rPr>
          <w:b/>
          <w:sz w:val="24"/>
        </w:rPr>
        <w:t>3.7 Aptidão intermitente (T-CAR): regressão, comparação de modelos e limiar de pico de velocidade</w:t>
      </w:r>
    </w:p>
    <w:p>
      <w:pPr>
        <w:spacing w:before="160" w:after="40"/>
      </w:pPr>
      <w:r>
        <w:rPr>
          <w:sz w:val="22"/>
        </w:rPr>
        <w:t>Tabela 11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11. A regressão mostrou que atletas com maior pico de velocidade reportaram menos fadiga física (ρ = -0,51; p = 0,008) e mais vigor (ρ = +0,47; p = 0,017) ao longo da semana (Figura 5).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60" w:after="40"/>
      </w:pPr>
      <w:r>
        <w:rPr>
          <w:sz w:val="22"/>
        </w:rPr>
        <w:t>Tabela 12 – Comparação a posteriori de modelos de curva (linear, logarítmico e polinomial) para a relação entre o pico de velocidade do T-CAR e a resposta semanal de humor, por qualidade de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Relação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Modelo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 ajustado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RMSE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1,381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95,0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99,9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1,378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117,9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2,269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118,0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2,274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119,7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124,6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2,259</w:t>
            </w:r>
          </w:p>
        </w:tc>
      </w:tr>
    </w:tbl>
    <w:p>
      <w:pPr>
        <w:spacing w:after="0"/>
      </w:pPr>
      <w:r>
        <w:rPr>
          <w:i/>
          <w:sz w:val="17"/>
        </w:rPr>
        <w:t>AIC = critério de informação de Akaike; BIC = critério bayesiano; RMSE = raiz do erro quadrático médio. † modelo de melhor ajuste (menor AIC). Valores menores de AIC/BIC indicam melhor compromisso entre ajuste e parcimônia.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ar_curv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Dispersão do pico de velocidade do T-CAR contra as médias semanais de fadiga física e de vigor, com os três modelos ajustados sobrepostos (o de menor AIC em linha cheia mais grossa).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verificar se a relação entre a aptidão e a resposta de humor seria mais bem descrita por uma forma não linear, ajustaram-se a posteriori três modelos de curva à relação entre o pico de velocidade do T-CAR e as médias semanais de fadiga física e de vigor — linear, logarítmico (ln do pico de velocidade) e polinomial de 2º grau —, comparados por R² ajustado, AIC e BIC (Tabela 12; Figura 6). Em ambas as relações, o modelo linear ofereceu o melhor compromisso entre ajuste e parcimônia (fadiga física: AIC = 93,1; vigor: AIC = 117,9); o ajuste logarítmico foi praticamente equivalente (ΔAIC ≈ 0,1) e o termo quadrático não compensou o parâmetro adicional (AIC maior, R² ajustado menor). Dentro da faixa de aptidão observada, portanto, a associação aptidão–humor é essencialmente linear, o que respalda descrevê-la pela reta de regressão. Para o desfecho binário — a probabilidade de um dia de fadiga elevada —, a regressão logística apresentou poder discriminativo moderado (pseudo-R² de McFadden = 0,057; AUC = 0,67), e a comparação do preditor na escala bruta contra a logarítmica favoreceu marginalmente a escala bruta (AIC 203,6 vs. 204,1), mantida, assim, na definição do limiar de pico de velocidade.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Duas regressões logísticas complementares fecham a leitura da aptidão. Simetricamente ao limiar de fadiga, modelou-se a probabilidade de um dia de baixo vigor (vigor no tercil inferior) em função do pico de velocidade: cada km/h a mais reduziu a chance de um dia de baixo vigor (OR = 0,59 por km/h) e o índice de Youden localizou um limiar de aproximadamente 14,9 km/h (sensibilidade = 0,79; especificidade = 0,57; área sob a curva = 0,66 [IC95% 0,50–0,78]), próximo ao limiar de fadiga e confirma o pico de velocidade como referência objetiva de prontidão. Por fim, a probabilidade de o atleta exibir o perfil iceberg tendeu a crescer com a aptidão (OR = 1,35 por km/h; área sob a curva = 0,63), porém sem significância (IC95% 0,70–4,35) — direção coerente com o papel protetor da capacidade aeróbia, que esta amostra, contudo, não teve potência para confirmar.</w:t>
      </w:r>
    </w:p>
    <w:p>
      <w:pPr>
        <w:spacing w:before="160" w:after="40"/>
      </w:pPr>
      <w:r>
        <w:rPr>
          <w:sz w:val="22"/>
        </w:rPr>
        <w:t>Tabela 13 – Estratificação do pico de velocidade do T-CAR em três faixas de aptidão por dois limiares (tercis da distribuição): prevalência de dias de fadiga elevada e de baixo vigor em cada faixa.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Faixa de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PV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 (atleta-dia)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elevada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Baixo vigor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Baixa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&lt; 14,4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14,4–15,1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35%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Alta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&gt; 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18%</w:t>
            </w:r>
          </w:p>
        </w:tc>
      </w:tr>
    </w:tbl>
    <w:p>
      <w:pPr>
        <w:spacing w:after="0"/>
      </w:pPr>
      <w:r>
        <w:rPr>
          <w:i/>
          <w:sz w:val="17"/>
        </w:rPr>
        <w:t>Dois limiares (t₁ = 14,4 km/h; t₂ = 15,1 km/h) definem três faixas. Dia de fadiga elevada = fadiga física no tercil superior; dia de baixo vigor = vigor no tercil inferior. Tendência linear da prevalência (Cochran-Armitage): fadiga p = 0,011; baixo vigor p =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176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miar2_faix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Dois limiares do pico de velocidade do T-CAR (14,4 e 15,1 km/h) que delimitam três faixas de aptidão (esquerda) e a prevalênciade dias de fadiga elevada e de baixo vigor em cada faixa (direita).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 vez de um único ponto de corte, o pico de velocidade foi ainda estratificado por dois limiares — os tercis de sua distribuição (t₁ = 14,4 km/h; t₂ = 15,1 km/h) —, criando três faixas de aptidão com valor de decisão direto (Tabela 13; Figura 7). A prevalência de dias críticos caiu de forma consistente da faixa de baixa para a de alta aptidão, tanto para a fadiga elevada (47% → 45% → 22%; tendência p = 0,011) quanto para o baixo vigor (50% → 35% → 18%; tendência p = 0,001). O ganho da estratificação dupla é sobretudo prático: enquanto o limiar único de Youden (≈ 14,9 km/h) traça uma só linha, os dois limiares isolam uma faixa superior de aptidão (PV &gt; 15,1 km/h) em que o risco de dias críticos cai para cerca de um quinto das observações, e uma faixa inferior (PV &lt; 14,4 km/h) que concentra o maior risco — e oferece à comissão técnica uma referência graduada, e não binária, para individualizar a carga e priorizar a recuperação dos atletas menos aptos.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_curv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Curvas logísticas ajustadas: à esquerda, a probabilidade de um dia de fadiga elevada decresce com o pico de velocidade do T-CAR (pontos = proporção observada por faixa, tamanho proporcional ao n); à direita, a probabilidade do perfil barbatana de tubarão cresce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curvas logísticas ajustadas sintetizam, em forma gráfica, os dois modelos de probabilidade discutidos: a queda monotônica da chance de um dia de fadiga elevada à medida que aumenta o pico de velocidade e a elevação da chance do perfil de barbatana de tubarão ao longo dos dias (Figura 8).</w:t>
      </w:r>
    </w:p>
    <w:p>
      <w:pPr>
        <w:spacing w:before="120" w:after="80" w:line="360" w:lineRule="auto"/>
      </w:pPr>
      <w:r>
        <w:rPr>
          <w:b/>
          <w:sz w:val="24"/>
        </w:rPr>
        <w:t>3.8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9).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3.9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o que confirma que os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3.10 Capacidade anaeróbia (RSA) e fadiga: especificidade e ajuste pela massa</w:t>
      </w:r>
    </w:p>
    <w:p>
      <w:pPr>
        <w:spacing w:before="160" w:after="40"/>
      </w:pPr>
      <w:r>
        <w:rPr>
          <w:sz w:val="22"/>
        </w:rPr>
        <w:t>Tabela 16 – Associação entre a capacidade anaeróbia (teste de sprints repetidos, Baker) e a fadiga e o vigor semanais: correlação bruta e parcial (com controle da massa corporal).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Medida do RSA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física (bruto / parcial)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BRUMS (bruto / parcial)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Vigor (bruto / parcial)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Melhor tempo (s)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+0,26 / +0,11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+0,30 / +0,18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+0,08 / -0,01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Soma dos 8 (s)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+0,34 / +0,19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+0,34 / +0,22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+0,07 / -0,05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Índice de fadiga (%F)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+0,26 / +0,33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+0,19 / +0,25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-0,39 / -0,37</w:t>
            </w:r>
          </w:p>
        </w:tc>
      </w:tr>
    </w:tbl>
    <w:p>
      <w:pPr>
        <w:spacing w:after="0"/>
      </w:pPr>
      <w:r>
        <w:rPr>
          <w:i/>
          <w:sz w:val="17"/>
        </w:rPr>
        <w:t>Correlação de Spearman (ρ); parcial = com controle da massa corporal. Melhor tempo, soma e índice de fadiga: menor = melhor. n = 24 atletas. Como contraste, o pico de velocidade aeróbio associou-se à fadiga física (ρ = -0,50; p = 0,013).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sa_especificida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Correlatos da fadiga física semanal: à esquerda, a capacidade anaeróbia (melhor tempo em sprints repetidos) apresenta associação fraca e não significativa; à direita, a aptidão aeróbia (pico de velocidade do T-CAR) apresenta associação moderada e significativa.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capacidade anaeróbia foi avaliada por um teste de sprints repetidos (oito sprints; Baker), do qual se tomaram o melhor tempo, a soma dos tempos e o índice de fadiga (percentual de decremento). Nenhuma das três medidas se associou de forma significativa à fadiga física, à fadiga do BRUMS ou ao vigor (Tabela 16; Figura 10); as correlações foram fracas, no limite da significância apenas para o índice de fadiga com o vigor (ρ = -0,39). A capacidade anaeróbia mostrou-se, ademais, independente da aptidão aeróbia (RSA × PV: ρ = -0,05), o que indica que os dois testes captam capacidades distintas.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normalização pela massa corporal esclarece a natureza dessas associações. Os atletas mais pesados foram mais lentos nos sprints (massa × melhor tempo: ρ = +0,50) e tenderam a relatar mais fadiga (massa × fadiga física: ρ = +0,34); ao controlar a massa, a fraca associação entre o melhor tempo e a fadiga física praticamente desaparece (bruto ρ = +0,26 → parcial ρ = +0,11), e o ajuste alométrico conduz à mesma conclusão (ρ ajustado = +0,09). Em contraste, a associação entre o pico de velocidade aeróbio e a fadiga física — significativa (ρ = -0,50) — resiste ao ajuste. O padrão revela especificidade fisiológica: no acúmulo de pré-temporada, a fadiga do humor é rastreada pela aptidão aeróbia, e não pela capacidade anaeróbia de sprints repetidos nem pelo porte corporal.</w:t>
      </w:r>
    </w:p>
    <w:p>
      <w:pPr>
        <w:spacing w:before="120" w:after="80" w:line="360" w:lineRule="auto"/>
      </w:pPr>
      <w:r>
        <w:rPr>
          <w:b/>
          <w:sz w:val="24"/>
        </w:rPr>
        <w:t>3.11 Moduladores da magnitude dos efeitos agudo e crônico</w:t>
      </w:r>
    </w:p>
    <w:p>
      <w:pPr>
        <w:spacing w:before="160" w:after="40"/>
      </w:pPr>
      <w:r>
        <w:rPr>
          <w:sz w:val="22"/>
        </w:rPr>
        <w:t>Tabela 17 – Moduladores da magnitude do efeito crônico (inclinação semanal): correlação (r) e coeficiente de determinação (R²) entre cada característica do atleta e a taxa de variação do vigor e da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Moderador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Vigor — r (R²)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— r (R²)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(PV T-CAR)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+0,15 (0,02)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-0,12 (0,01)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% de gordura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+0,16 (0,02)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-0,30 (0,09)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Potência (CMJ)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-0,43 (0,18)*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 (0,01)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Sprints repetidos (Baker)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+0,07 (0,01)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Sonolência (Epworth)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+0,42 (0,17)*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Estresse (PSS-14)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+0,33 (0,11)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+0,04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Carga interna (TRIMP)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-0,02 (0,00)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</w:tr>
    </w:tbl>
    <w:p>
      <w:pPr>
        <w:spacing w:after="0"/>
      </w:pPr>
      <w:r>
        <w:rPr>
          <w:i/>
          <w:sz w:val="17"/>
        </w:rPr>
        <w:t>r = correlação de Pearson; R² = coeficiente de determinação (variância explicada); * p &lt; 0,05 sem correção. Nenhuma associação sobrevive à correção de Holm para 48 testes. CMJ = salto vertical; Baker = melhor tempo em sprints repetidos (menor = melhor); TRIMP = carga interna.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ador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Modulação da taxa semanal pelo perfil do atleta: à esquerda, o coeficiente de determinação (R²) de cada característica sobre a taxa do vigor (verde) e da fadiga (laranja) — a fadiga é praticamente não modulada; à direita, a taxa de queda do vigor decresce com a potência de membros inferiores (salto CMJ).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Uma questão aplicada relevante é saber quais características do atleta modulam a intensidade da resposta — e em que medida. A magnitude do efeito agudo (variação pré → pós) revelou-se estável e independente do perfil individual: a queda média do vigor (-0,92 ponto por sessão), a elevação da fadiga (+1,42) e a da PTH (+3,04) não se acentuaram ao longo da semana (tendência por dia: p ≥ 0,24) nem se vincularam de modo consistente à aptidão, à composição corporal, à potência, ao sono ou à carga interna — todos os coeficientes de determinação foram baixos (R² &lt; 0,09). O choque afetivo intrassessão comporta-se, portanto, como uma resposta estereotipada, compartilhada pelo grupo.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efeito crônico (inclinação semanal) exibiu modulação apenas parcial, restrita ao vigor (Tabela 17; Figura 11). A taxa de acúmulo de fadiga foi praticamente idêntica entre os atletas — nenhum moderador explicou fração relevante de sua variância (R² ≤ 0,02) —, ao passo que a taxa de queda do vigor associou-se à potência de membros inferiores (salto CMJ: r = -0,43; R² = 0,18) e, em menor grau, à sonolência: os atletas mais explosivos perderam vigor mais depressa. Um modelo de regressão múltipla com aptidão e potência explicou cerca de 23% da variância da taxa do vigor (R² = 0,23; R² ajustado = 0,14), com o maior peso padronizado atribuído à potência (β* = -0,45). Impõe-se, porém, cautela: entre os 48 testes de moderação, nenhuma associação resistiu à correção de Holm para comparações múltiplas, de sorte que esses vínculos permanecem exploratórios. Predomina, assim, uma resposta de humor amplamente independente das características individuais mensuradas — sobretudo no eixo da fadiga —, o que reforça o caráter geral e esperado da reação à carga da pré-temporada.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examinou os correlatos fisiológicos e de bem-estar da resposta de humor de handebolistas de elite ao longo da última semana de pré-temporada. Como pano de fundo, a deterioração do humor concentrou-se no eixo energia–fadiga: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na comparação de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 e reclamam, a um só tempo,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a deterioração do eixo energia–fadiga observada e esclarece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Sob a ótica psicofisiológica, o eixo energia–fadiga funciona como um leitor do equilíbrio entre a carga de treino e a capacidade de recuperação. Em uma semana de acumulação, esse equilíbrio inclina-se transitoriamente para o polo da sobrecarga, e a queda do vigor com a ascensão da fadiga exprime, no plano afetivo, a resposta integrada do organismo ao esforço acumulado — uma cascata de ajustes metabólicos, hormonais e neurais que visam restaurar a homeostase e poupar energia (WOODS et al., 2018; VRIJKOTTE et al., 2019). A elevação da sonolência ao término da semana, sem alteração do estresse percebido, respalda essa leitura: a perturbação nasceu da carga física e da restauração incompleta entre as sessões, não de um estressor psicossocial concomitante. O acoplamento crescente entre o afeto negativo e a fadiga, do primeiro ao último dia, acompanha essa transição de um estado diferenciado para um estado integrado de estresse, no qual as respostas afetivas convergem sob um substrato central comum — leitura que o próprio delineamento sustenta, uma vez que os marcadores medidos (humor, sono e estresse) apontam para a mesma origem na carga de treino.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Esse conjunto de sinais delineia a assinatura de um sobre-esforço funcional (functional overreaching) — a fadiga planejada e reversível que precede a supercompensação — e não a de um estado disfuncional. A literatura recente ampara tal distinção: períodos de treino intensificado agravam a perturbação do humor e comprometem o desempenho, com plena recuperação após dias de afinamento, tanto em esportes coletivos (CAMPBELL et al., 2020) quanto em modalidades de resistência (PIACENTINI et al., 2016; WOODS et al., 2018), padrão que revisões sistemáticas reconhecem como um marcador do sobre-esforço funcional (ROETE et al., 2021). Cabe, todavia, a cautela metodológica que essas mesmas revisões assinalam: os instrumentos de humor sinalizam o sobre-esforço, porém nem sempre separam a fadiga aguda do acúmulo funcional (ROETE et al., 2021) — limitação que o presente desenho amortece ao dissociar a resposta aguda (pré → pós de cada sessão) do acúmulo semanal e ao modelar a trajetória temporal, o que torna visíveis tanto o choque intrassessão quanto a deriva ao longo dos dias. A preservação das dimensões de valência não fadiga e a ausência dos perfis de risco à saúde mental completam o quadro de uma adaptação esperada, e não de um processo patológico.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dos moduladores refina esse entendimento e traz uma mensagem de utilidade prática. A magnitude tanto do choque agudo quanto da deriva crônica mostrou-se, em larga medida, independente do perfil do atleta: nenhum dos preditores — aptidão, composição corporal, potência, sono, estresse ou carga interna — explicou parcela expressiva da variância, e nenhuma associação resistiu à correção para comparações múltiplas. A taxa de acúmulo de fadiga, em especial, revelou-se homogênea entre os atletas, o que sugere uma resposta obrigatória e comum à carga da pré-temporada — coerente com a leitura de um sobre-esforço funcional que atinge o grupo de maneira relativamente uniforme. A única modulação digna de nota, ainda que exploratória, recaiu sobre a taxa de queda do vigor, associada à potência de membros inferiores: os atletas mais explosivos perderam energia mais depressa, padrão compatível com a hipótese de que perfis de maior demanda neuromuscular acumulam fadiga central e periférica com maior rapidez sob um bloco de acumulação aeróbia. Do ponto de vista aplicado, a baixa modulação reforça que a vigilância do humor deve ser universal na equipe — e não reservada a subgrupos supostamente mais vulneráveis —, embora o eixo do vigor mereça atenção adicional nos atletas de perfil mais potente.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Situados no conjunto da literatura, esses achados ocupam uma lacuna específica. A BRUMS tem sido aplicada, predominantemente, como um retrato pontual em torno da competição (BRANDT et al., 2019; DO NASCIMENTO et al., 2026) ou em comparações entre fases de treino distantes semanas ou meses entre si (ROUVEIX et al., 2006), quase sempre associada ao sono, ao desempenho ou a marcadores hormonais (ANDRADE et al., 2019; ROUVEIX et al., 2006). São escassas, contudo, as descrições que acompanham o humor em alta resolução dentro de um único microciclo — com medidas duas vezes ao dia que separam a resposta aguda do acúmulo crônico —, que modelam a trajetória de forma contínua e que a articulam à aptidão aeróbia intermitente em uma modalidade coletiva de invasão. É precisamente esse o nicho do presente estudo, cuja abordagem temporal e multivariada oferece um retrato mais fino da dinâmica afetiva do que o instantâneo pré-competitivo predominante, e sinaliza um caminho para o monitoramento intramicrociclo em esportes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pois acelera a recuperação entre as ações e retarda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A estratificação por dois limiares refina essa referência ao substituir a linha única por três faixas de aptidão: a prevalência de dias críticos caiu de modo ordenado da faixa inferior para a superior (tendência significativa para fadiga e para baixo vigor), e a faixa de alta aptidão isolou atletas com risco de dias críticos reduzido a cerca de um quinto — uma leitura graduada, e não binária, mais aderente à decisão prática de dosar carga e recuperação atleta a atleta.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o que evidencia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contraposição com a capacidade anaeróbia delimita a especificidade dessa relação. O teste de sprints repetidos (Baker) — um marcador da capacidade de repetir esforços máximos de curta duração — não se associou de forma significativa à fadiga do humor em nenhuma de suas medidas, e a fraca associação bruta entre o melhor tempo e a fadiga física desapareceu ao controlar a massa corporal, o que a atribui ao porte do atleta, e não à capacidade anaeróbia em si. Como a capacidade anaeróbia se mostrou independente da aptidão aeróbia, os dois testes captam qualidades físicas distintas; e é a aptidão aeróbia — não a anaeróbia — que rastreia a fadiga afetiva do acúmulo de pré-temporada. Esse contraste é coerente com a natureza predominantemente aeróbia da carga de uma semana de acumulação e com a recomendação de sistemas de monitoramento multidomínio, que combinam marcadores neuromusculares, cardioautonômicos e de autorrelato de humor, sono e estresse (NAUGHTON et al., 2023; TAVARES et al., 2017). Convém, ainda, a cautela metodológica de que o índice de fadiga do teste de sprints repetidos, por derivar de uma pequena queda de desempenho, tem confiabilidade limitada e deve ser lido com reservas (OLIVER, 2007; GLAISTER et al., 2008).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comparação a posteriori de modelos de curva reforça a leitura dessa relação e agrega parcimônia à sua interpretação. Testadas as formas linear, logarítmica e polinomial, o modelo linear mostrou o melhor compromisso entre ajuste e parcimônia para a fadiga física e para o vigor (menores AIC e BIC), com o ajuste logarítmico praticamente equivalente e sem ganho do termo quadrático — o que revela que, na faixa de aptidão desta amostra, cada incremento de pico de velocidade se associa a uma variação aproximadamente constante da resposta de humor, sem evidência de saturação ou de limiar de rendimentos decrescentes. Esse resultado justifica descrever a associação pela reta de regressão e, ao mesmo tempo, delimita o alcance do modelo: uma relação linear estimada em uma faixa estreita de aptidão não deve ser extrapolada para além dela. Para o desfecho binário, a regressão logística — cuja qualidade de ajuste foi documentada pelo pseudo-R² de McFadden e pelos critérios de informação — sustentou o limiar de pico de velocidade como ferramenta prática de triagem, com preferência pelo preditor na escala bruta, de leitura mais direta para a comissão técnica.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carga: elevou-se rumo ao último dia e associou-se, entre os atletas, a mais fadiga e a um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a deterioração do humor concentrou-se no eixo energia–fadiga, e a sua magnitude associou-se de forma seletiva às capacidades físicas. Entre os parâmetros examinados, a aptidão aeróbia intermitente (pico de velocidade do T-CAR) foi o correlato fisiológico genuíno: os atletas mais aptos relataram mais vigor e menos fadiga física, com um limiar de aproximadamente 14,9 km/h e dois cortes que delimitaram faixas de risco úteis à individualização da carga. A capacidade anaeróbia de sprints repetidos, ao contrário, não explicou a fadiga do humor — e o seu vínculo aparente decorria do porte corporal —, o que revela especificidade aeróbia. A sonolência acrescentou uma leitura de recuperação, ao acompanhar a fadiga e a perturbação do humor, enquanto o estresse percebido, estável, delimitou a origem da resposta na carga de treino. A magnitude dos efeitos foi, porém, pouco modulada pelo perfil individual, o que sugere uma resposta amplamente comum ao grupo. Recomenda-se, portanto, um monitoramento multidomínio — que combine o humor, a aptidão aeróbia e marcadores de recuperação — centrado no eixo energia–fadiga.</w:t>
      </w:r>
    </w:p>
    <w:p>
      <w:pPr>
        <w:spacing w:before="200" w:after="80" w:line="360" w:lineRule="auto"/>
      </w:pPr>
      <w:r>
        <w:rPr>
          <w:b/>
          <w:sz w:val="24"/>
        </w:rPr>
        <w:t>Contribuições dos autores</w:t>
      </w:r>
    </w:p>
    <w:p>
      <w:pPr>
        <w:spacing w:line="360" w:lineRule="auto" w:after="120"/>
        <w:jc w:val="both"/>
      </w:pPr>
      <w:r>
        <w:rPr>
          <w:b w:val="0"/>
          <w:sz w:val="24"/>
        </w:rPr>
        <w:t>[Autor 1] e [Autor 2] conceberam o estudo e o delineamento. [Autor 1] conduziu a coleta de dados. [Autor 1] e [Autor 3] realizaram as análises estatísticas. [Autor 1] redigiu a primeira versão do manuscrito. Todos os autores revisaram criticamente o texto e aprovaram a versão final.</w:t>
      </w:r>
    </w:p>
    <w:p>
      <w:pPr>
        <w:spacing w:before="120" w:after="80" w:line="360" w:lineRule="auto"/>
      </w:pPr>
      <w:r>
        <w:rPr>
          <w:b/>
          <w:sz w:val="24"/>
        </w:rPr>
        <w:t>Financiamento</w:t>
      </w:r>
    </w:p>
    <w:p>
      <w:pPr>
        <w:spacing w:line="360" w:lineRule="auto" w:after="120"/>
        <w:jc w:val="both"/>
      </w:pPr>
      <w:r>
        <w:rPr>
          <w:b w:val="0"/>
          <w:sz w:val="24"/>
        </w:rPr>
        <w:t>[Esta pesquisa não recebeu financiamento externo. / Esta pesquisa foi financiada por [agência], processo nº [placeholder].]</w:t>
      </w:r>
    </w:p>
    <w:p>
      <w:pPr>
        <w:spacing w:before="120" w:after="80" w:line="360" w:lineRule="auto"/>
      </w:pPr>
      <w:r>
        <w:rPr>
          <w:b/>
          <w:sz w:val="24"/>
        </w:rPr>
        <w:t>Aprovação ética</w:t>
      </w:r>
    </w:p>
    <w:p>
      <w:pPr>
        <w:spacing w:line="360" w:lineRule="auto" w:after="120"/>
        <w:jc w:val="both"/>
      </w:pPr>
      <w:r>
        <w:rPr>
          <w:b w:val="0"/>
          <w:sz w:val="24"/>
        </w:rPr>
        <w:t>O estudo foi conduzido de acordo com a Declaração de Helsinque e aprovado pelo Comitê de Ética em Pesquisa de [instituição] (parecer nº / CAAE [placeholder]).</w:t>
      </w:r>
    </w:p>
    <w:p>
      <w:pPr>
        <w:spacing w:before="120" w:after="80" w:line="360" w:lineRule="auto"/>
      </w:pPr>
      <w:r>
        <w:rPr>
          <w:b/>
          <w:sz w:val="24"/>
        </w:rPr>
        <w:t>Consentimento informado</w:t>
      </w:r>
    </w:p>
    <w:p>
      <w:pPr>
        <w:spacing w:line="360" w:lineRule="auto" w:after="120"/>
        <w:jc w:val="both"/>
      </w:pPr>
      <w:r>
        <w:rPr>
          <w:b w:val="0"/>
          <w:sz w:val="24"/>
        </w:rPr>
        <w:t>Todos os participantes assinaram o termo de consentimento livre e esclarecido antes da coleta de dados.</w:t>
      </w:r>
    </w:p>
    <w:p>
      <w:pPr>
        <w:spacing w:before="120" w:after="80" w:line="360" w:lineRule="auto"/>
      </w:pPr>
      <w:r>
        <w:rPr>
          <w:b/>
          <w:sz w:val="24"/>
        </w:rPr>
        <w:t>Disponibilidade dos dados</w:t>
      </w:r>
    </w:p>
    <w:p>
      <w:pPr>
        <w:spacing w:line="360" w:lineRule="auto" w:after="120"/>
        <w:jc w:val="both"/>
      </w:pPr>
      <w:r>
        <w:rPr>
          <w:b w:val="0"/>
          <w:sz w:val="24"/>
        </w:rPr>
        <w:t>Os dados que sustentam os achados deste estudo, em forma anonimizada, e os scripts de análise estão disponíveis mediante solicitação razoável ao autor correspondente.</w:t>
      </w:r>
    </w:p>
    <w:p>
      <w:pPr>
        <w:spacing w:before="120" w:after="80" w:line="360" w:lineRule="auto"/>
      </w:pPr>
      <w:r>
        <w:rPr>
          <w:b/>
          <w:sz w:val="24"/>
        </w:rPr>
        <w:t>Conflitos de interesse</w:t>
      </w:r>
    </w:p>
    <w:p>
      <w:pPr>
        <w:spacing w:line="360" w:lineRule="auto" w:after="120"/>
        <w:jc w:val="both"/>
      </w:pPr>
      <w:r>
        <w:rPr>
          <w:b w:val="0"/>
          <w:sz w:val="24"/>
        </w:rPr>
        <w:t>Os autores declaram não haver conflitos de interesse.</w:t>
      </w:r>
    </w:p>
    <w:p>
      <w:pPr>
        <w:spacing w:before="120" w:after="80" w:line="360" w:lineRule="auto"/>
      </w:pPr>
      <w:r>
        <w:rPr>
          <w:b/>
          <w:sz w:val="24"/>
        </w:rPr>
        <w:t>Artigo companheiro</w:t>
      </w:r>
    </w:p>
    <w:p>
      <w:pPr>
        <w:spacing w:line="360" w:lineRule="auto" w:after="120"/>
        <w:jc w:val="both"/>
      </w:pPr>
      <w:r>
        <w:rPr>
          <w:b w:val="0"/>
          <w:sz w:val="24"/>
        </w:rPr>
        <w:t>Este manuscrito integra um par de estudos-companheiros que compartilham a mesma amostra e o mesmo microciclo, com desfechos primários distintos. O artigo companheiro — sobre a dinâmica do humor e a modelagem das trajetórias — foi submetido a outro periódico; ambos se citam mutuamente.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 associated with mood in elite athletes. The Physician and Sportsmedicine, v. 47, n. 3, p. 312–317, 2019. DOI: 10.1080/00913847.2018.1553467.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BRANDT, R. et al. Comparisons of mood states associated with outcomes achieved by female and male athletes in high-level judo and Brazilian jiu-jitsu championships: psychological factors associated with the probability of success. Journal of Strength and Conditioning Research, v. 35, n. 9, p. 2518–2524, 2019. DOI: 10.1519/JSC.0000000000003218.</w:t>
      </w:r>
    </w:p>
    <w:p>
      <w:pPr>
        <w:spacing w:line="360" w:lineRule="auto" w:after="120"/>
        <w:jc w:val="both"/>
      </w:pPr>
      <w:r>
        <w:rPr>
          <w:sz w:val="22"/>
        </w:rPr>
        <w:t>CAMPBELL, P. G. et al. The effect of overreaching on neuromuscular performance and wellness responses in Australian rules football athletes. Journal of Strength and Conditioning Research, v. 34, n. 6, p. 1530–1538, 2020. DOI: 10.1519/JSC.0000000000003603.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GLAISTER, M. et al. The reliability and validity of fatigue measures during multiple-sprint work: an issue revisited. Journal of Strength and Conditioning Research, v. 22, n. 5, p. 1597–1601, 2008. DOI: 10.1519/JSC.0b013e318181ab80.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NAUGHTON, M. et al. Defining and quantifying fatigue in the rugby codes. PLoS ONE, v. 18, n. 3, e0282390, 2023. DOI: 10.1371/journal.pone.0282390.</w:t>
      </w:r>
    </w:p>
    <w:p>
      <w:pPr>
        <w:spacing w:line="360" w:lineRule="auto" w:after="120"/>
        <w:jc w:val="both"/>
      </w:pPr>
      <w:r>
        <w:rPr>
          <w:sz w:val="22"/>
        </w:rPr>
        <w:t>OLIVER, J. L. Is a fatigue index a worthwhile measure of repeated sprint ability? Journal of Science and Medicine in Sport, v. 12, n. 1, p. 20–23, 2007. DOI: 10.1016/j.jsams.2007.10.010.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PIACENTINI, M. F. et al. Effect of intensive training on mood with no effect on brain-derived neurotrophic factor. International Journal of Sports Physiology and Performance, v. 11, n. 6, p. 824–830, 2016. DOI: 10.1123/ijspp.2015-0279.</w:t>
      </w:r>
    </w:p>
    <w:p>
      <w:pPr>
        <w:spacing w:line="360" w:lineRule="auto" w:after="120"/>
        <w:jc w:val="both"/>
      </w:pPr>
      <w:r>
        <w:rPr>
          <w:sz w:val="22"/>
        </w:rPr>
        <w:t>ROETE, A. J. et al. A systematic review on markers of functional overreaching in endurance athletes. International Journal of Sports Physiology and Performance, v. 16, n. 8, p. 1065–1073, 2021. DOI: 10.1123/ijspp.2021-0024.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ROUVEIX, M. et al. The 24 h urinary cortisol/cortisone ratio and epinephrine/norepinephrine ratio for monitoring training in young female tennis players. International Journal of Sports Medicine, v. 27, n. 11, p. 856–863, 2006. DOI: 10.1055/s-2006-923778.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TAVARES, F. et al. Wellness, muscle soreness and neuromuscular performance during a training week in volleyball athletes. Journal of Sports Medicine and Physical Fitness, v. 58, n. 12, p. 1852–1858, 2017. DOI: 10.23736/S0022-4707.17.07818-5.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VRIJKOTTE, S. et al. The overtraining syndrome in soldiers: insights from the sports domain. Military Medicine, v. 184, n. 5-6, p. e192–e200, 2019. DOI: 10.1093/milmed/usy274.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p>
      <w:pPr>
        <w:spacing w:line="360" w:lineRule="auto" w:after="120"/>
        <w:jc w:val="both"/>
      </w:pPr>
      <w:r>
        <w:rPr>
          <w:sz w:val="22"/>
        </w:rPr>
        <w:t>WOODS, A. L. et al. The effects of intensified training on resting metabolic rate, body composition and performance in trained cyclists. PLoS ONE, v. 13, n. 2, e0191644, 2018. DOI: 10.1371/journal.pone.0191644.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