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duas vezes ao dia por sete dias (456 observações).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-0,95) e a fadiga subiu (d = +0,72), confirmado por MANOVA (Wilks λ = 0,283; p = 0,002). O vigor foi máximo no Dia 1 e a fadiga no Dia 7; o perfil iceberg caiu e o de fadiga subiu (χ² = 14,58; p = 0,012). Maior aptidão associou-se a menos fadiga (ρ = -0,54), com limiar de 14,9 km/h.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para a fadiga funcional;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e (ix) analisar o T-CAR e o limiar de pico de velocidade.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registro de data e hora, duas vezes por dia de treino — a primeira resposta tomada como pré e a última como pós —, ao longo de sete dias, totalizando 456 observações válidas.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+131%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(19%; d = -0,74)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0,040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0,269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0,936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12,3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0,056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0,23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= 0,022; W = 0,13), a fadiga (p = 0,040; W = 0,12), a tensão (p = 0,039) e a confusão (p =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5,88*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5,82*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7,60*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7 dos 21 pares de dias e a fadiga em 8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Wilks λ = 0,283; F(6,15) = 6,32; p = 0,002; η²ₚ = 0,72.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0,283; F(6,15) = 6,32; p = 0,002; η²ₚ = 0,72). Nos testes univariados com o critério corrigido de Bonferroni (α = 0,008), apenas o vigor (d = -0,95) e a fadiga (d = +0,72) permaneceram significativos — evidenciando que o efeito se concentra no eixo energia–fadiga —, enquanto a tensão (p = 0,014) e a confusão (p = 0,049), significativas apenas sob α = 0,05, não resistiram à correção (Tabela 9; Figura 4). A resposta aguda pré → pós também foi multivariadamente significativa (Wilks λ = 0,423; p = 0,003),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4,70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0,15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4.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+0,20), mas no dia de maior fadiga torna-se forte (ρ = +0,75).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mas com nítida reorganização entre o primeiro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primeiro e no último dia da semana: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migrou do iceberg (40% no Dia 1) para a barbatana de tubarão (28% no Dia 7), com o iceberg caindo para 17% (Figura 11; Tabela 12).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(40%), mas, ao final do microciclo, eleva marcadamente a barbatana de tubarão (28%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-0,54; p = 0,005) e mais vigor (ρ = +0,48; p = 0,015) ao longo da semana (Figura 13). A partir de um modelo que estima a probabilidade de um dia de fadiga elevada em função do pico de velocidade, identificou-se um limiar de aproximadamente 14,9 km/h (área sob a curva = 0,69; sensibilidade = 0,79; especificidade = 0,60): abaixo desse valor, os atletas apresentaram maior probabilidade de dias de fadiga elevada, o que fornece uma referência objetiva para individualizar a carga.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−19%, d = -0,74; fadiga +34%, d = +0,60) quanto na comparação do primeiro ao último dia (vigor d = -0,95; fadiga d = +0,72). A robustez desse achado é sustentada por três abordagens convergentes — o pós-teste do modelo misto comparando todos os dias, o teste de Friedman e a análise multivariada em escores T (Wilks λ = 0,283; F(6,15) = 6,32; p = 0,002; η²ₚ = 0,72). Sob o critério conservador de Bonferroni, apenas o vigor (η²ₚ = 0,49) e a fadiga (η²ₚ = 0,35)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+0,20; raiva × fadiga ρ = +0,14); no dia de maior fadiga (Dia 7), esse acoplamento tornou-se forte (depressão × fadiga ρ = +0,75; raiva × fadiga ρ = +0,64).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a migração do iceberg (prontidão) para a barbatana de tubarão (fadiga funcional) ao longo da semana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(28%)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+0,48; p = 0,015) e menos fadiga física (ρ = -0,54; p = 0,005) ao longo da semana, e um limiar de pico de velocidade de aproximadamente 14,9 km/h discriminou os dias de maior fadiga (área sob a curva = 0,69).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