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Diante dessa lacuna,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5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5):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6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6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7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7) foi moderada a boa, com os valores mais baixos na raiva e na confusão — dimensões mais reativas dia a dia.</w:t>
      </w:r>
    </w:p>
    <w:p>
      <w:pPr>
        <w:spacing w:before="160" w:after="40"/>
      </w:pPr>
      <w:r>
        <w:rPr>
          <w:sz w:val="22"/>
        </w:rPr>
        <w:t>Tabela 8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8;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9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9;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10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10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11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11),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12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12).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13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13).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14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14;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15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15)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16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16;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17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17).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esse o nicho do presente estudo, cuja abordagem temporal e multivariada oferece um retrato mais fino da dinâmica afetiva do que o instantâneo pré-competitivo predominante, e sinaliza um caminho para o monitoramento intramicrociclo em esportes de rendimento.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