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11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11.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12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12;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13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13;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after="80" w:line="360" w:lineRule="auto"/>
      </w:pPr>
      <w:r>
        <w:rPr>
          <w:b/>
          <w:sz w:val="24"/>
        </w:rPr>
        <w:t>3.8 Sonolência (Epworth) e estresse percebido (PSS-14)</w:t>
      </w:r>
    </w:p>
    <w:p>
      <w:pPr>
        <w:spacing w:before="160" w:after="40"/>
      </w:pPr>
      <w:r>
        <w:rPr>
          <w:sz w:val="22"/>
        </w:rPr>
        <w:t>Tabela 14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9" name="Picture 9"/>
            <wp:cNvGraphicFramePr>
              <a:graphicFrameLocks noChangeAspect="1"/>
            </wp:cNvGraphicFramePr>
            <a:graphic>
              <a:graphicData uri="http://schemas.openxmlformats.org/drawingml/2006/picture">
                <pic:pic>
                  <pic:nvPicPr>
                    <pic:cNvPr id="0" name="sono_traj.png"/>
                    <pic:cNvPicPr/>
                  </pic:nvPicPr>
                  <pic:blipFill>
                    <a:blip r:embed="rId17"/>
                    <a:stretch>
                      <a:fillRect/>
                    </a:stretch>
                  </pic:blipFill>
                  <pic:spPr>
                    <a:xfrm>
                      <a:off x="0" y="0"/>
                      <a:ext cx="5400000" cy="2322000"/>
                    </a:xfrm>
                    <a:prstGeom prst="rect"/>
                  </pic:spPr>
                </pic:pic>
              </a:graphicData>
            </a:graphic>
          </wp:inline>
        </w:drawing>
      </w:r>
    </w:p>
    <w:p>
      <w:pPr>
        <w:jc w:val="center"/>
      </w:pPr>
      <w:r>
        <w:rPr>
          <w:sz w:val="22"/>
        </w:rPr>
        <w:t>Figura 9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14; Figura 9).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15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15)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16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0" name="Picture 10"/>
            <wp:cNvGraphicFramePr>
              <a:graphicFrameLocks noChangeAspect="1"/>
            </wp:cNvGraphicFramePr>
            <a:graphic>
              <a:graphicData uri="http://schemas.openxmlformats.org/drawingml/2006/picture">
                <pic:pic>
                  <pic:nvPicPr>
                    <pic:cNvPr id="0" name="rsa_especificidade.png"/>
                    <pic:cNvPicPr/>
                  </pic:nvPicPr>
                  <pic:blipFill>
                    <a:blip r:embed="rId18"/>
                    <a:stretch>
                      <a:fillRect/>
                    </a:stretch>
                  </pic:blipFill>
                  <pic:spPr>
                    <a:xfrm>
                      <a:off x="0" y="0"/>
                      <a:ext cx="5580000" cy="2146154"/>
                    </a:xfrm>
                    <a:prstGeom prst="rect"/>
                  </pic:spPr>
                </pic:pic>
              </a:graphicData>
            </a:graphic>
          </wp:inline>
        </w:drawing>
      </w:r>
    </w:p>
    <w:p>
      <w:pPr>
        <w:jc w:val="center"/>
      </w:pPr>
      <w:r>
        <w:rPr>
          <w:sz w:val="22"/>
        </w:rPr>
        <w:t>Figura 10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16; Figura 10);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20" w:after="80" w:line="360" w:lineRule="auto"/>
      </w:pPr>
      <w:r>
        <w:rPr>
          <w:b/>
          <w:sz w:val="24"/>
        </w:rPr>
        <w:t>3.11 Moduladores da magnitude dos efeitos agudo e crônico</w:t>
      </w:r>
    </w:p>
    <w:p>
      <w:pPr>
        <w:spacing w:before="160" w:after="40"/>
      </w:pPr>
      <w:r>
        <w:rPr>
          <w:sz w:val="22"/>
        </w:rPr>
        <w:t>Tabela 17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moduladores.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17; Figura 11).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 que a articulam à aptidão aeróbia intermitente em uma modalidade coletiva de invasão. É precisamente esse o nicho do presente estudo, cuja abordagem temporal e multivariada oferece um retrato mais fino da dinâmica afetiva do que o instantâneo pré-competitivo predominante, e sinaliza um caminho para o monitoramento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A sonolência foi medida por uma versão de 6 itens do Epworth (sem ponto de corte clínico validado) e o estresse, pela PSS-14, cujo horizonte de referência é mais amplo que o microciclo; por isso, essas variáveis foram interpretadas por sua média semanal por atleta, e não por flutuações diárias.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